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ook w:val="04A0" w:firstRow="1" w:lastRow="0" w:firstColumn="1" w:lastColumn="0" w:noHBand="0" w:noVBand="1"/>
      </w:tblPr>
      <w:tblGrid>
        <w:gridCol w:w="2948"/>
        <w:gridCol w:w="6408"/>
      </w:tblGrid>
      <w:tr>
        <w:trPr>
          <w:trHeight w:val="1440"/>
        </w:trPr>
        <w:tc>
          <w:tcPr>
            <w:tcW w:w="2948" w:type="dxa"/>
            <w:shd w:val="clear" w:color="auto" w:fill="FFFFFF"/>
          </w:tcPr>
          <w:p>
            <w:pPr>
              <w:spacing w:after="0" w:line="240" w:lineRule="auto"/>
              <w:jc w:val="center"/>
              <w:rPr>
                <w:rFonts w:ascii="Times New Roman" w:eastAsia="Times New Roman" w:hAnsi="Times New Roman" w:cs="Times New Roman"/>
                <w:b/>
                <w:sz w:val="26"/>
                <w:szCs w:val="28"/>
              </w:rPr>
            </w:pPr>
            <w:r>
              <w:rPr>
                <w:rFonts w:ascii="Times New Roman" w:eastAsia="Times New Roman" w:hAnsi="Times New Roman" w:cs="Times New Roman"/>
                <w:b/>
                <w:sz w:val="26"/>
                <w:szCs w:val="28"/>
              </w:rPr>
              <w:t>ỦY BAN NHÂN DÂN</w:t>
            </w:r>
          </w:p>
          <w:p>
            <w:pPr>
              <w:spacing w:after="0" w:line="240" w:lineRule="auto"/>
              <w:jc w:val="center"/>
              <w:rPr>
                <w:rFonts w:ascii="Times New Roman" w:eastAsia="Times New Roman" w:hAnsi="Times New Roman" w:cs="Times New Roman"/>
                <w:b/>
                <w:sz w:val="26"/>
                <w:szCs w:val="28"/>
              </w:rPr>
            </w:pPr>
            <w:r>
              <w:rPr>
                <w:rFonts w:ascii="Times New Roman" w:eastAsia="Times New Roman" w:hAnsi="Times New Roman" w:cs="Times New Roman"/>
                <w:b/>
                <w:sz w:val="26"/>
                <w:szCs w:val="28"/>
              </w:rPr>
              <w:t>TỈNH HÀ TĨNH</w:t>
            </w:r>
          </w:p>
          <w:p>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592455</wp:posOffset>
                      </wp:positionH>
                      <wp:positionV relativeFrom="paragraph">
                        <wp:posOffset>34290</wp:posOffset>
                      </wp:positionV>
                      <wp:extent cx="568960" cy="0"/>
                      <wp:effectExtent l="0" t="0" r="21590" b="19050"/>
                      <wp:wrapNone/>
                      <wp:docPr id="7" name="Straight Connector 7"/>
                      <wp:cNvGraphicFramePr/>
                      <a:graphic xmlns:a="http://schemas.openxmlformats.org/drawingml/2006/main">
                        <a:graphicData uri="http://schemas.microsoft.com/office/word/2010/wordprocessingShape">
                          <wps:wsp>
                            <wps:cNvCnPr/>
                            <wps:spPr>
                              <a:xfrm>
                                <a:off x="0" y="0"/>
                                <a:ext cx="56896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1335683C" id="Straight Connector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6.65pt,2.7pt" to="91.4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"/>
                  </w:pict>
                </mc:Fallback>
              </mc:AlternateContent>
            </w:r>
          </w:p>
          <w:p>
            <w:pPr>
              <w:spacing w:before="120"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Số:              /BC-UBND  </w:t>
            </w:r>
          </w:p>
        </w:tc>
        <w:tc>
          <w:tcPr>
            <w:tcW w:w="6408" w:type="dxa"/>
            <w:shd w:val="clear" w:color="auto" w:fill="FFFFFF"/>
          </w:tcPr>
          <w:p>
            <w:pPr>
              <w:tabs>
                <w:tab w:val="left" w:pos="4690"/>
              </w:tabs>
              <w:spacing w:after="0" w:line="240" w:lineRule="auto"/>
              <w:jc w:val="center"/>
              <w:rPr>
                <w:rFonts w:ascii="Times New Roman" w:eastAsia="Times New Roman" w:hAnsi="Times New Roman" w:cs="Times New Roman"/>
                <w:b/>
                <w:sz w:val="26"/>
                <w:szCs w:val="28"/>
              </w:rPr>
            </w:pPr>
            <w:r>
              <w:rPr>
                <w:rFonts w:ascii="Times New Roman" w:eastAsia="Times New Roman" w:hAnsi="Times New Roman" w:cs="Times New Roman"/>
                <w:b/>
                <w:sz w:val="26"/>
                <w:szCs w:val="28"/>
              </w:rPr>
              <w:t xml:space="preserve">     CỘNG HÒA XÃ HỘI CHỦ NGHĨA VIỆT NAM</w:t>
            </w:r>
          </w:p>
          <w:p>
            <w:pPr>
              <w:tabs>
                <w:tab w:val="left" w:pos="469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Độc lập - Tự do - Hạnh phúc</w:t>
            </w:r>
          </w:p>
          <w:p>
            <w:pPr>
              <w:tabs>
                <w:tab w:val="left" w:pos="469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mc:AlternateContent>
                <mc:Choice Requires="wps">
                  <w:drawing>
                    <wp:anchor distT="0" distB="0" distL="114300" distR="114300" simplePos="0" relativeHeight="251661312" behindDoc="0" locked="0" layoutInCell="1" allowOverlap="1">
                      <wp:simplePos x="0" y="0"/>
                      <wp:positionH relativeFrom="column">
                        <wp:posOffset>967105</wp:posOffset>
                      </wp:positionH>
                      <wp:positionV relativeFrom="paragraph">
                        <wp:posOffset>32385</wp:posOffset>
                      </wp:positionV>
                      <wp:extent cx="2162175" cy="0"/>
                      <wp:effectExtent l="0" t="0" r="9525" b="19050"/>
                      <wp:wrapNone/>
                      <wp:docPr id="8"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straightConnector1">
                                <a:avLst/>
                              </a:prstGeom>
                              <a:noFill/>
                              <a:ln w="9525">
                                <a:solidFill>
                                  <a:srgbClr val="000000"/>
                                </a:solidFill>
                                <a:round/>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shapetype w14:anchorId="368AB788" id="_x0000_t32" coordsize="21600,21600" o:spt="32" o:oned="t" path="m,l21600,21600e" filled="f">
                      <v:path arrowok="t" fillok="f" o:connecttype="none"/>
                      <o:lock v:ext="edit" shapetype="t"/>
                    </v:shapetype>
                    <v:shape id="AutoShape 5" o:spid="_x0000_s1026" type="#_x0000_t32" style="position:absolute;margin-left:76.15pt;margin-top:2.55pt;width:170.2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"/>
                  </w:pict>
                </mc:Fallback>
              </mc:AlternateContent>
            </w:r>
          </w:p>
          <w:p>
            <w:pPr>
              <w:tabs>
                <w:tab w:val="left" w:pos="4690"/>
              </w:tabs>
              <w:spacing w:before="120" w:after="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w:t>
            </w:r>
            <w:bookmarkStart w:id="0" w:name="_GoBack"/>
            <w:bookmarkEnd w:id="0"/>
            <w:r>
              <w:rPr>
                <w:rFonts w:ascii="Times New Roman" w:eastAsia="Times New Roman" w:hAnsi="Times New Roman" w:cs="Times New Roman"/>
                <w:i/>
                <w:sz w:val="28"/>
                <w:szCs w:val="28"/>
              </w:rPr>
              <w:t>Hà Tĩnh, ngày       tháng      năm 2025</w:t>
            </w:r>
          </w:p>
        </w:tc>
      </w:tr>
    </w:tbl>
    <w:p>
      <w:pPr>
        <w:spacing w:after="0" w:line="240" w:lineRule="auto"/>
        <w:rPr>
          <w:rFonts w:ascii="Times New Roman" w:eastAsia="Times New Roman" w:hAnsi="Times New Roman" w:cs="Times New Roman"/>
          <w:b/>
          <w:sz w:val="16"/>
          <w:szCs w:val="16"/>
        </w:rPr>
      </w:pPr>
    </w:p>
    <w:p>
      <w:pPr>
        <w:spacing w:after="0" w:line="240" w:lineRule="auto"/>
        <w:jc w:val="center"/>
        <w:rPr>
          <w:rFonts w:ascii="Times New Roman" w:eastAsia="Times New Roman" w:hAnsi="Times New Roman" w:cs="Times New Roman"/>
          <w:b/>
          <w:sz w:val="26"/>
          <w:szCs w:val="26"/>
          <w:bdr w:val="single" w:sz="4" w:space="0" w:color="auto"/>
        </w:rPr>
      </w:pPr>
    </w:p>
    <w:p>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BÁO CÁO</w:t>
      </w:r>
    </w:p>
    <w:p>
      <w:pPr>
        <w:widowControl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Kết quả công tác tiếp </w:t>
      </w:r>
      <w:r>
        <w:rPr>
          <w:rFonts w:ascii="Times New Roman" w:eastAsia="Times New Roman" w:hAnsi="Times New Roman" w:cs="Times New Roman"/>
          <w:b/>
          <w:sz w:val="28"/>
          <w:szCs w:val="28"/>
          <w:lang w:val="vi-VN"/>
        </w:rPr>
        <w:t xml:space="preserve">công </w:t>
      </w:r>
      <w:r>
        <w:rPr>
          <w:rFonts w:ascii="Times New Roman" w:eastAsia="Times New Roman" w:hAnsi="Times New Roman" w:cs="Times New Roman"/>
          <w:b/>
          <w:sz w:val="28"/>
          <w:szCs w:val="28"/>
        </w:rPr>
        <w:t xml:space="preserve">dân, giải quyết đơn thư KNTC, đấu tranh PCTN </w:t>
      </w:r>
    </w:p>
    <w:p>
      <w:pPr>
        <w:widowControl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6 tháng đầu năm 2025 và phương hướng, nhiệm vụ</w:t>
      </w:r>
      <w:r>
        <w:rPr>
          <w:rFonts w:ascii="Times New Roman" w:eastAsia="Times New Roman" w:hAnsi="Times New Roman" w:cs="Times New Roman"/>
          <w:b/>
          <w:sz w:val="28"/>
          <w:szCs w:val="28"/>
          <w:lang w:val="vi-VN"/>
        </w:rPr>
        <w:t xml:space="preserve"> </w:t>
      </w:r>
      <w:r>
        <w:rPr>
          <w:rFonts w:ascii="Times New Roman" w:eastAsia="Times New Roman" w:hAnsi="Times New Roman" w:cs="Times New Roman"/>
          <w:b/>
          <w:sz w:val="28"/>
          <w:szCs w:val="28"/>
        </w:rPr>
        <w:t>6 tháng cuối năm 2025</w:t>
      </w:r>
    </w:p>
    <w:p>
      <w:pPr>
        <w:widowControl w:val="0"/>
        <w:spacing w:after="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(Báo cáo tại </w:t>
      </w:r>
      <w:r>
        <w:rPr>
          <w:rFonts w:ascii="Times New Roman" w:eastAsia="Times New Roman" w:hAnsi="Times New Roman" w:cs="Times New Roman"/>
          <w:i/>
          <w:sz w:val="28"/>
          <w:szCs w:val="28"/>
          <w:lang w:val="vi-VN"/>
        </w:rPr>
        <w:t xml:space="preserve">Kỳ họp </w:t>
      </w:r>
      <w:r>
        <w:rPr>
          <w:rFonts w:ascii="Times New Roman" w:eastAsia="Times New Roman" w:hAnsi="Times New Roman" w:cs="Times New Roman"/>
          <w:i/>
          <w:sz w:val="28"/>
          <w:szCs w:val="28"/>
        </w:rPr>
        <w:t xml:space="preserve">giữa năm 2025, </w:t>
      </w:r>
      <w:r>
        <w:rPr>
          <w:rFonts w:ascii="Times New Roman" w:eastAsia="Times New Roman" w:hAnsi="Times New Roman" w:cs="Times New Roman"/>
          <w:i/>
          <w:sz w:val="28"/>
          <w:szCs w:val="28"/>
          <w:lang w:val="vi-VN"/>
        </w:rPr>
        <w:t>HĐND tỉnh khóa XVIII</w:t>
      </w:r>
      <w:r>
        <w:rPr>
          <w:rFonts w:ascii="Times New Roman" w:eastAsia="Times New Roman" w:hAnsi="Times New Roman" w:cs="Times New Roman"/>
          <w:i/>
          <w:sz w:val="28"/>
          <w:szCs w:val="28"/>
        </w:rPr>
        <w:t>)</w:t>
      </w:r>
    </w:p>
    <w:p>
      <w:pPr>
        <w:spacing w:before="120" w:after="0" w:line="240" w:lineRule="auto"/>
        <w:jc w:val="center"/>
        <w:rPr>
          <w:rFonts w:ascii="Times New Roman" w:eastAsia="Times New Roman" w:hAnsi="Times New Roman" w:cs="Times New Roman"/>
          <w:b/>
          <w:bCs/>
          <w:sz w:val="18"/>
          <w:szCs w:val="26"/>
        </w:rPr>
      </w:pPr>
      <w:r>
        <w:rPr>
          <w:rFonts w:ascii="Times New Roman" w:eastAsia="Times New Roman" w:hAnsi="Times New Roman" w:cs="Times New Roman"/>
          <w:noProof/>
          <w:sz w:val="10"/>
          <w:szCs w:val="28"/>
        </w:rPr>
        <mc:AlternateContent>
          <mc:Choice Requires="wps">
            <w:drawing>
              <wp:anchor distT="0" distB="0" distL="114300" distR="114300" simplePos="0" relativeHeight="251659264" behindDoc="0" locked="0" layoutInCell="1" allowOverlap="1">
                <wp:simplePos x="0" y="0"/>
                <wp:positionH relativeFrom="column">
                  <wp:posOffset>2267585</wp:posOffset>
                </wp:positionH>
                <wp:positionV relativeFrom="paragraph">
                  <wp:posOffset>29845</wp:posOffset>
                </wp:positionV>
                <wp:extent cx="1232535" cy="0"/>
                <wp:effectExtent l="0" t="0" r="24765" b="19050"/>
                <wp:wrapNone/>
                <wp:docPr id="1"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2535" cy="0"/>
                        </a:xfrm>
                        <a:prstGeom prst="line">
                          <a:avLst/>
                        </a:prstGeom>
                        <a:noFill/>
                        <a:ln w="9525">
                          <a:solidFill>
                            <a:srgbClr val="000000"/>
                          </a:solidFill>
                          <a:round/>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4537CD8A" id="Line 50"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8.55pt,2.35pt" to="275.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"/>
            </w:pict>
          </mc:Fallback>
        </mc:AlternateContent>
      </w:r>
    </w:p>
    <w:p>
      <w:pPr>
        <w:spacing w:after="0" w:line="240" w:lineRule="auto"/>
        <w:ind w:firstLine="709"/>
        <w:contextualSpacing/>
        <w:jc w:val="both"/>
        <w:rPr>
          <w:rFonts w:ascii="Times New Roman" w:eastAsia="Times New Roman" w:hAnsi="Times New Roman" w:cs="Times New Roman"/>
          <w:b/>
          <w:bCs/>
          <w:sz w:val="10"/>
          <w:szCs w:val="26"/>
        </w:rPr>
      </w:pPr>
    </w:p>
    <w:p>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Thực hiện Kế hoạch số 208/KH-HĐND ngày 20/5/2025 của HĐND tỉnh về chuẩn bị nội dung Kỳ họp thường lệ giữa năm 2025 của HĐND tỉnh; xét đề nghị của Thanh tra tỉnh tại các Văn bản: số 419/TT-VP ngày 02/6/2025 và số 521/TT-VP ngày 24/6/2025; trên cơ sở biểu quyết thống nhất của các thành viên UBND tỉnh (biểu quyết bằng phiếu), UBND tỉnh báo cáo kết quả công tác tiếp công dân, giải quyết đơn thư khiếu nại, tố cáo, đấu tranh phòng chống tham nhũng 6 tháng đầu năm 2025 và phương hướng, nhiệm vụ 6 tháng cuối năm 2025, như sau:</w:t>
      </w:r>
    </w:p>
    <w:p>
      <w:pPr>
        <w:spacing w:before="120" w:after="0" w:line="240" w:lineRule="auto"/>
        <w:ind w:firstLine="680"/>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I. CÔNG TÁC CHỈ ĐẠO, ĐIỀU HÀNH</w:t>
      </w:r>
    </w:p>
    <w:p>
      <w:pPr>
        <w:spacing w:before="100" w:after="0" w:line="240" w:lineRule="auto"/>
        <w:ind w:firstLine="680"/>
        <w:jc w:val="both"/>
        <w:rPr>
          <w:rFonts w:ascii="Times New Roman" w:eastAsia="Times New Roman" w:hAnsi="Times New Roman" w:cs="Times New Roman"/>
          <w:bCs/>
          <w:spacing w:val="-4"/>
          <w:sz w:val="28"/>
          <w:szCs w:val="28"/>
          <w:lang w:val="vi-VN"/>
        </w:rPr>
      </w:pPr>
      <w:r>
        <w:rPr>
          <w:rFonts w:ascii="Times New Roman" w:eastAsia="Times New Roman" w:hAnsi="Times New Roman" w:cs="Times New Roman"/>
          <w:bCs/>
          <w:spacing w:val="-4"/>
          <w:sz w:val="28"/>
          <w:szCs w:val="28"/>
        </w:rPr>
        <w:t>Sáu tháng đầu năm 2025, bên cạnh những mặt thuận lợi, nhìn chung tình hình còn nhiều khó khăn, thách thức; kinh tế, chính trị thế giới tiếp tục có nhiều biến động, diễn biến khó lường; trong nước, cả hệ thống chính trị tập trung cho nhiệm vụ trọng tâm là sắp xếp tổ chức bộ máy, tổ chức lại đơn vị hành chính các cấp và những khó khăn nội tại liên quan đến đầu tư, tín dụng, phát triển doanh nghiệp...vv, đã ảnh hưởng không nhỏ đến sự phát triển kinh tế - xã hội chung của Tỉnh cũng như các hoạt động quản lý nhà nước trên các lĩnh vực. Tuy vậy, với sự lãnh đạo, chỉ đạo chủ động, linh hoạt của Tỉnh ủy, HĐND, UBND tỉnh và sự vào cuộc của cả hệ thống chính trị, công tác tiếp công dân, giải quyết khiếu nại, tố cáo (KNTC) và phòng, chống tham nhũng (PCTN) trên địa bàn được triển khai thực hiện nghiêm túc; các hoạt động quản lý nhà nước trên các lĩnh vực được tăng cường.</w:t>
      </w:r>
    </w:p>
    <w:p>
      <w:pPr>
        <w:spacing w:before="100" w:after="0" w:line="240" w:lineRule="auto"/>
        <w:ind w:firstLine="680"/>
        <w:jc w:val="both"/>
        <w:rPr>
          <w:rFonts w:ascii="Times New Roman" w:hAnsi="Times New Roman" w:cs="Times New Roman"/>
          <w:spacing w:val="-2"/>
          <w:sz w:val="28"/>
          <w:szCs w:val="28"/>
        </w:rPr>
      </w:pPr>
      <w:r>
        <w:rPr>
          <w:rFonts w:ascii="Times New Roman" w:eastAsia="Times New Roman" w:hAnsi="Times New Roman" w:cs="Times New Roman"/>
          <w:spacing w:val="-2"/>
          <w:sz w:val="28"/>
          <w:szCs w:val="28"/>
        </w:rPr>
        <w:t xml:space="preserve">Tỉnh ủy tiếp tục chỉ đạo thực hiện nghiêm </w:t>
      </w:r>
      <w:r>
        <w:rPr>
          <w:rFonts w:ascii="Times New Roman" w:eastAsia="Times New Roman" w:hAnsi="Times New Roman" w:cs="Times New Roman"/>
          <w:bCs/>
          <w:spacing w:val="-2"/>
          <w:sz w:val="28"/>
          <w:szCs w:val="28"/>
        </w:rPr>
        <w:t>Quy định số 11-QĐ/TW ngày 18/02/2019 của Bộ Chính trị về trách nhiệm của người đứng đầu cấp ủy trong việc tiếp công dân, đối thoại trực tiếp với dân và xử lý những phản ánh, kiến nghị của dân. Đ</w:t>
      </w:r>
      <w:r>
        <w:rPr>
          <w:rFonts w:ascii="Times New Roman" w:hAnsi="Times New Roman" w:cs="Times New Roman"/>
          <w:spacing w:val="-2"/>
          <w:sz w:val="28"/>
          <w:szCs w:val="28"/>
        </w:rPr>
        <w:t>ồng chí Bí thư Tỉnh ủy, đồng chí Chủ tịch HĐND tỉnh</w:t>
      </w:r>
      <w:r>
        <w:rPr>
          <w:rStyle w:val="FootnoteReference"/>
          <w:rFonts w:ascii="Times New Roman" w:hAnsi="Times New Roman" w:cs="Times New Roman"/>
          <w:spacing w:val="-2"/>
          <w:sz w:val="28"/>
          <w:szCs w:val="28"/>
        </w:rPr>
        <w:footnoteReference w:id="1"/>
      </w:r>
      <w:r>
        <w:rPr>
          <w:rFonts w:ascii="Times New Roman" w:hAnsi="Times New Roman" w:cs="Times New Roman"/>
          <w:spacing w:val="-2"/>
          <w:sz w:val="28"/>
          <w:szCs w:val="28"/>
        </w:rPr>
        <w:t xml:space="preserve"> và đồng chí Chủ tịch UBND tỉnh thực hiện nghiêm túc, hiệu quả việc tiếp công dân định kỳ hằng tháng và tiếp công dân đột xuất khi có yêu cầu. S</w:t>
      </w:r>
      <w:r>
        <w:rPr>
          <w:rFonts w:ascii="Times New Roman" w:hAnsi="Times New Roman" w:cs="Times New Roman"/>
          <w:bCs/>
          <w:spacing w:val="-2"/>
          <w:sz w:val="28"/>
          <w:szCs w:val="28"/>
        </w:rPr>
        <w:t xml:space="preserve">au các phiên tiếp công dân định kỳ, đột xuất, Văn phòng Tỉnh ủy, Ban Tiếp công dân tỉnh đã tham mưu ban hành Thông báo kết luận của các đồng chí chủ trì, chỉ đạo các ngành, địa phương tập trung giải quyết kịp thời các KNTC, kiến nghị, phản ánh (KNPA) của công dân. </w:t>
      </w:r>
    </w:p>
    <w:p>
      <w:pPr>
        <w:spacing w:before="100" w:after="0" w:line="240" w:lineRule="auto"/>
        <w:ind w:firstLine="6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UBND tỉnh tiếp tục quan tâm chỉ đạo các lĩnh vực thanh tra, tiếp công dân, giải quyết KNTC, PCTN; chỉ đạo thực hiện nghiêm Chỉ thị số 10/CT-TTg ngày </w:t>
      </w:r>
      <w:r>
        <w:rPr>
          <w:rFonts w:ascii="Times New Roman" w:eastAsia="Times New Roman" w:hAnsi="Times New Roman" w:cs="Times New Roman"/>
          <w:sz w:val="28"/>
          <w:szCs w:val="28"/>
        </w:rPr>
        <w:lastRenderedPageBreak/>
        <w:t>22/4/2019 của Thủ tướng Chính phủ về tăng cường xử lý, ngăn chặn có hiệu quả tình trạng nhũng nhiễu, gây phiền hà cho người dân, doanh nghiệp trong giải quyết công việc và Chỉ thị số 27-CT/TW ngày 10/01/2019 của Bộ Chính trị về tăng cường sự lãnh đạo của Đảng đối với công tác bảo vệ người phát hiện, tố giác, người đấu tranh chống tham nhũng, lãng phí, tiêu cực và chế độ báo cáo, cung cấp thông tin về tình hình, công tác PCTN, tiêu cực trong các cơ quan nhà nước; đồng thời c</w:t>
      </w:r>
      <w:r>
        <w:rPr>
          <w:rFonts w:ascii="Times New Roman" w:eastAsia="Times New Roman" w:hAnsi="Times New Roman" w:cs="Times New Roman"/>
          <w:sz w:val="28"/>
          <w:szCs w:val="28"/>
          <w:lang w:val="vi-VN"/>
        </w:rPr>
        <w:t>hỉ đạo triển khai có hiệu</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quả</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các</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văn</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bản</w:t>
      </w:r>
      <w:r>
        <w:rPr>
          <w:rFonts w:ascii="Times New Roman" w:eastAsia="Times New Roman" w:hAnsi="Times New Roman" w:cs="Times New Roman"/>
          <w:sz w:val="28"/>
          <w:szCs w:val="28"/>
        </w:rPr>
        <w:t xml:space="preserve"> về công tác thanh tra, tiếp công dân, giải quyết KNTC và PCTN</w:t>
      </w:r>
      <w:r>
        <w:rPr>
          <w:rFonts w:ascii="Times New Roman" w:eastAsia="Times New Roman" w:hAnsi="Times New Roman" w:cs="Times New Roman"/>
          <w:sz w:val="28"/>
          <w:szCs w:val="28"/>
          <w:vertAlign w:val="superscript"/>
        </w:rPr>
        <w:t xml:space="preserve"> </w:t>
      </w:r>
      <w:r>
        <w:rPr>
          <w:rFonts w:ascii="Times New Roman" w:eastAsia="Times New Roman" w:hAnsi="Times New Roman" w:cs="Times New Roman"/>
          <w:sz w:val="28"/>
          <w:szCs w:val="28"/>
        </w:rPr>
        <w:t xml:space="preserve">của cấp trên. </w:t>
      </w:r>
    </w:p>
    <w:p>
      <w:pPr>
        <w:spacing w:before="100" w:after="0" w:line="240" w:lineRule="auto"/>
        <w:ind w:firstLine="680"/>
        <w:jc w:val="both"/>
        <w:rPr>
          <w:rFonts w:ascii="Times New Roman" w:eastAsia="Calibri" w:hAnsi="Times New Roman" w:cs="Times New Roman"/>
          <w:sz w:val="28"/>
          <w:szCs w:val="28"/>
        </w:rPr>
      </w:pPr>
      <w:r>
        <w:rPr>
          <w:rFonts w:ascii="Times New Roman" w:eastAsia="Times New Roman" w:hAnsi="Times New Roman" w:cs="Times New Roman"/>
          <w:sz w:val="28"/>
          <w:szCs w:val="28"/>
        </w:rPr>
        <w:t xml:space="preserve">UBND tỉnh chỉ đạo khẩn trương </w:t>
      </w:r>
      <w:r>
        <w:rPr>
          <w:rFonts w:ascii="Times New Roman" w:eastAsia="Times New Roman" w:hAnsi="Times New Roman" w:cs="Times New Roman"/>
          <w:sz w:val="28"/>
          <w:szCs w:val="28"/>
          <w:lang w:val="vi-VN"/>
        </w:rPr>
        <w:t xml:space="preserve">triển khai </w:t>
      </w:r>
      <w:r>
        <w:rPr>
          <w:rFonts w:ascii="Times New Roman" w:eastAsia="Times New Roman" w:hAnsi="Times New Roman" w:cs="Times New Roman"/>
          <w:sz w:val="28"/>
          <w:szCs w:val="28"/>
        </w:rPr>
        <w:t xml:space="preserve">thực hiện Đề án </w:t>
      </w:r>
      <w:r>
        <w:rPr>
          <w:rFonts w:ascii="Times New Roman" w:hAnsi="Times New Roman" w:cs="Times New Roman"/>
          <w:sz w:val="28"/>
          <w:szCs w:val="28"/>
        </w:rPr>
        <w:t xml:space="preserve">sắp xếp hệ thống cơ quan Thanh tra tinh, gọn, mạnh, hiệu năng, hiệu lực, hiệu quả theo Kết luận số 134-KL/TW ngày 28/3/2025 của Bộ Chính trị, Ban Bí thư và Quyết định số 755/QĐ-TTg ngày 13/4/2025 của Thủ tướng Chính phủ; </w:t>
      </w:r>
      <w:r>
        <w:rPr>
          <w:rFonts w:ascii="Times New Roman" w:eastAsia="Times New Roman" w:hAnsi="Times New Roman" w:cs="Times New Roman"/>
          <w:sz w:val="28"/>
          <w:szCs w:val="28"/>
        </w:rPr>
        <w:t xml:space="preserve">thực hiện các </w:t>
      </w:r>
      <w:r>
        <w:rPr>
          <w:rFonts w:ascii="Times New Roman" w:eastAsia="Times New Roman" w:hAnsi="Times New Roman" w:cs="Times New Roman"/>
          <w:sz w:val="28"/>
          <w:szCs w:val="28"/>
          <w:lang w:val="vi-VN"/>
        </w:rPr>
        <w:t>nội dung</w:t>
      </w:r>
      <w:r>
        <w:rPr>
          <w:rFonts w:ascii="Times New Roman" w:eastAsia="Times New Roman" w:hAnsi="Times New Roman" w:cs="Times New Roman"/>
          <w:sz w:val="28"/>
          <w:szCs w:val="28"/>
        </w:rPr>
        <w:t xml:space="preserve"> của</w:t>
      </w:r>
      <w:r>
        <w:rPr>
          <w:rFonts w:ascii="Times New Roman" w:eastAsia="Times New Roman" w:hAnsi="Times New Roman" w:cs="Times New Roman"/>
          <w:sz w:val="28"/>
          <w:szCs w:val="28"/>
          <w:lang w:val="vi-VN"/>
        </w:rPr>
        <w:t xml:space="preserve"> kế hoạch thanh tra năm 20</w:t>
      </w:r>
      <w:r>
        <w:rPr>
          <w:rFonts w:ascii="Times New Roman" w:eastAsia="Times New Roman" w:hAnsi="Times New Roman" w:cs="Times New Roman"/>
          <w:sz w:val="28"/>
          <w:szCs w:val="28"/>
        </w:rPr>
        <w:t xml:space="preserve">25 và các nhiệm vụ thanh tra đột xuất phù hợp </w:t>
      </w:r>
      <w:r>
        <w:rPr>
          <w:rFonts w:ascii="Times New Roman" w:eastAsia="Times New Roman" w:hAnsi="Times New Roman" w:cs="Times New Roman"/>
          <w:sz w:val="28"/>
          <w:szCs w:val="28"/>
          <w:lang w:val="vi-VN"/>
        </w:rPr>
        <w:t xml:space="preserve">với </w:t>
      </w:r>
      <w:r>
        <w:rPr>
          <w:rFonts w:ascii="Times New Roman" w:eastAsia="Times New Roman" w:hAnsi="Times New Roman" w:cs="Times New Roman"/>
          <w:sz w:val="28"/>
          <w:szCs w:val="28"/>
        </w:rPr>
        <w:t xml:space="preserve">mục tiêu, nhiệm vụ trọng tâm về phát triển kinh tế - xã hội </w:t>
      </w:r>
      <w:r>
        <w:rPr>
          <w:rFonts w:ascii="Times New Roman" w:eastAsia="Times New Roman" w:hAnsi="Times New Roman" w:cs="Times New Roman"/>
          <w:sz w:val="28"/>
          <w:szCs w:val="28"/>
          <w:lang w:val="vi-VN"/>
        </w:rPr>
        <w:t xml:space="preserve">của </w:t>
      </w:r>
      <w:r>
        <w:rPr>
          <w:rFonts w:ascii="Times New Roman" w:eastAsia="Times New Roman" w:hAnsi="Times New Roman" w:cs="Times New Roman"/>
          <w:sz w:val="28"/>
          <w:szCs w:val="28"/>
        </w:rPr>
        <w:t>T</w:t>
      </w:r>
      <w:r>
        <w:rPr>
          <w:rFonts w:ascii="Times New Roman" w:eastAsia="Times New Roman" w:hAnsi="Times New Roman" w:cs="Times New Roman"/>
          <w:sz w:val="28"/>
          <w:szCs w:val="28"/>
          <w:lang w:val="vi-VN"/>
        </w:rPr>
        <w:t>ỉnh</w:t>
      </w:r>
      <w:r>
        <w:rPr>
          <w:rFonts w:ascii="Times New Roman" w:eastAsia="Calibri" w:hAnsi="Times New Roman" w:cs="Times New Roman"/>
          <w:sz w:val="28"/>
          <w:szCs w:val="28"/>
        </w:rPr>
        <w:t>. Trong kỳ, Tỉnh ủy, UBND tỉnh ban hành 04 văn bản chỉ đạo, 01 quyết định, 01 kế hoạch và lồng ghép nội dung chỉ đạo nhiệm vụ giải quyết KNTC, PCTN trong nhiều văn bản khác</w:t>
      </w:r>
      <w:r>
        <w:rPr>
          <w:rFonts w:ascii="Times New Roman" w:eastAsia="Calibri" w:hAnsi="Times New Roman" w:cs="Times New Roman"/>
          <w:sz w:val="28"/>
          <w:szCs w:val="28"/>
          <w:vertAlign w:val="superscript"/>
        </w:rPr>
        <w:t>(</w:t>
      </w:r>
      <w:r>
        <w:rPr>
          <w:rFonts w:ascii="Times New Roman" w:eastAsia="Calibri" w:hAnsi="Times New Roman" w:cs="Times New Roman"/>
          <w:sz w:val="28"/>
          <w:szCs w:val="28"/>
          <w:vertAlign w:val="superscript"/>
        </w:rPr>
        <w:footnoteReference w:id="2"/>
      </w:r>
      <w:r>
        <w:rPr>
          <w:rFonts w:ascii="Times New Roman" w:eastAsia="Calibri" w:hAnsi="Times New Roman" w:cs="Times New Roman"/>
          <w:sz w:val="28"/>
          <w:szCs w:val="28"/>
          <w:vertAlign w:val="superscript"/>
        </w:rPr>
        <w:t>)</w:t>
      </w:r>
      <w:r>
        <w:rPr>
          <w:rFonts w:ascii="Times New Roman" w:eastAsia="Calibri" w:hAnsi="Times New Roman" w:cs="Times New Roman"/>
          <w:sz w:val="28"/>
          <w:szCs w:val="28"/>
        </w:rPr>
        <w:t>.</w:t>
      </w:r>
    </w:p>
    <w:p>
      <w:pPr>
        <w:spacing w:before="100" w:after="0" w:line="240" w:lineRule="auto"/>
        <w:ind w:firstLine="680"/>
        <w:jc w:val="both"/>
        <w:rPr>
          <w:rFonts w:ascii="Times New Roman" w:eastAsia="Times New Roman" w:hAnsi="Times New Roman" w:cs="Times New Roman"/>
          <w:bCs/>
          <w:sz w:val="28"/>
          <w:szCs w:val="28"/>
        </w:rPr>
      </w:pPr>
      <w:r>
        <w:rPr>
          <w:rFonts w:ascii="Times New Roman" w:eastAsia="Calibri" w:hAnsi="Times New Roman" w:cs="Times New Roman"/>
          <w:sz w:val="28"/>
          <w:szCs w:val="28"/>
        </w:rPr>
        <w:t xml:space="preserve">Thanh tra tỉnh đã tích cực tham mưu thực hiện tốt công tác quản lý nhà nước về thanh tra, KNTC, PCTN; </w:t>
      </w:r>
      <w:r>
        <w:rPr>
          <w:rFonts w:ascii="Times New Roman" w:hAnsi="Times New Roman" w:cs="Times New Roman"/>
          <w:sz w:val="28"/>
          <w:szCs w:val="28"/>
        </w:rPr>
        <w:t>chủ trì, phối hợp với các đơn vị, địa phương liên quan tham mưu triển khai Đề án sắp xếp hệ thống cơ quan Thanh tra tinh, gọn, mạnh, hiệu năng, hiệu lực, hiệu quả;</w:t>
      </w:r>
      <w:r>
        <w:rPr>
          <w:rFonts w:ascii="Times New Roman" w:eastAsia="Calibri" w:hAnsi="Times New Roman" w:cs="Times New Roman"/>
          <w:sz w:val="28"/>
          <w:szCs w:val="28"/>
        </w:rPr>
        <w:t xml:space="preserve"> tăng cường hướng về cơ sở trong giải quyết KNTC</w:t>
      </w:r>
      <w:r>
        <w:rPr>
          <w:rFonts w:ascii="Times New Roman" w:eastAsia="Times New Roman" w:hAnsi="Times New Roman" w:cs="Times New Roman"/>
          <w:bCs/>
          <w:sz w:val="28"/>
          <w:szCs w:val="28"/>
        </w:rPr>
        <w:t xml:space="preserve">; kịp thời hướng dẫn tháo gỡ khó khăn, vướng mắc, cho ý kiến các vụ việc khiếu nại phức tạp, tồn đọng kéo dài và đôn đốc giải quyết các vụ việc còn tồn đọng, đơn thư mới phát sinh. </w:t>
      </w:r>
    </w:p>
    <w:p>
      <w:pPr>
        <w:spacing w:before="100" w:after="0" w:line="240" w:lineRule="auto"/>
        <w:ind w:firstLine="68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Tỉnh ủy và UBND tỉnh đã ban hành kịp thời các văn bản chỉ đạo thực hiện Kế hoạch số 96/KH-TTCP ngày 28/3/2025 của Thanh tra Chính phủ về việc kiểm tra, rà soát, giải quyết các vụ việc KNTC kéo dài, vượt cấp lên Trung ương. Việc kiểm tra, rà soát, chỉ đạo xử lý 02 vụ việc đã thực hiện đảm bảo theo yêu cầu chỉ đạo tại Kế hoạch số 96/KH-TTCP và của Tổ công tác số 2, Thanh tra Chính phủ. Hiện nay, Tổ giúp việc đã tham mưu báo cáo kết quả thực hiện kế hoạch gửi Tổ công tác số 2, Thanh tra Chính phủ theo quy định. </w:t>
      </w:r>
    </w:p>
    <w:p>
      <w:pPr>
        <w:spacing w:before="100" w:after="0" w:line="240" w:lineRule="auto"/>
        <w:ind w:firstLine="680"/>
        <w:jc w:val="both"/>
        <w:rPr>
          <w:rFonts w:ascii="Times New Roman" w:eastAsia="Times New Roman" w:hAnsi="Times New Roman" w:cs="Times New Roman"/>
          <w:sz w:val="28"/>
          <w:szCs w:val="28"/>
          <w:lang w:val="vi-VN"/>
        </w:rPr>
      </w:pPr>
      <w:r>
        <w:rPr>
          <w:rFonts w:ascii="Times New Roman" w:eastAsia="Times New Roman" w:hAnsi="Times New Roman" w:cs="Times New Roman"/>
          <w:bCs/>
          <w:sz w:val="28"/>
          <w:szCs w:val="28"/>
        </w:rPr>
        <w:t>Nhìn chung 6 tháng đầu năm 2025, các cơ quan, đơn vị, địa phương đã chủ động triển khai kịp thời các nhiệm vụ về công tác tiếp công dân, giải quyết KNTC, PCTN, tập trung xử lý vụ việc tồn đọng; ngành Thanh tra đã khắc phục những khó khăn, tập trung hoàn thành các cuộc thanh tra từ kỳ trước chuyển sang và triển khai kịp thời, đảm bảo yêu cầu các cuộc thanh tra theo kế hoạch, các nhiệm vụ thanh tra đột xuất theo chỉ đạo của UBND tỉnh</w:t>
      </w:r>
      <w:r>
        <w:rPr>
          <w:rFonts w:ascii="Times New Roman" w:eastAsia="Times New Roman" w:hAnsi="Times New Roman" w:cs="Times New Roman"/>
          <w:bCs/>
          <w:sz w:val="28"/>
          <w:szCs w:val="28"/>
          <w:vertAlign w:val="superscript"/>
        </w:rPr>
        <w:t>(</w:t>
      </w:r>
      <w:r>
        <w:rPr>
          <w:rStyle w:val="FootnoteReference"/>
          <w:rFonts w:ascii="Times New Roman" w:eastAsia="Times New Roman" w:hAnsi="Times New Roman" w:cs="Times New Roman"/>
          <w:bCs/>
          <w:sz w:val="28"/>
          <w:szCs w:val="28"/>
        </w:rPr>
        <w:footnoteReference w:id="3"/>
      </w:r>
      <w:r>
        <w:rPr>
          <w:rFonts w:ascii="Times New Roman" w:eastAsia="Times New Roman" w:hAnsi="Times New Roman" w:cs="Times New Roman"/>
          <w:bCs/>
          <w:sz w:val="28"/>
          <w:szCs w:val="28"/>
          <w:vertAlign w:val="superscript"/>
        </w:rPr>
        <w:t>)</w:t>
      </w:r>
      <w:r>
        <w:rPr>
          <w:rFonts w:ascii="Times New Roman" w:eastAsia="Times New Roman" w:hAnsi="Times New Roman" w:cs="Times New Roman"/>
          <w:bCs/>
          <w:sz w:val="28"/>
          <w:szCs w:val="28"/>
        </w:rPr>
        <w:t>, g</w:t>
      </w:r>
      <w:r>
        <w:rPr>
          <w:rFonts w:ascii="Times New Roman" w:eastAsia="Times New Roman" w:hAnsi="Times New Roman" w:cs="Times New Roman"/>
          <w:sz w:val="28"/>
          <w:szCs w:val="28"/>
        </w:rPr>
        <w:t>óp phần duy trì ổn định tình hình an ninh trật tự, đảm bảo phát triển kinh tế - xã hội của Tỉnh.</w:t>
      </w:r>
    </w:p>
    <w:p>
      <w:pPr>
        <w:autoSpaceDE w:val="0"/>
        <w:autoSpaceDN w:val="0"/>
        <w:adjustRightInd w:val="0"/>
        <w:spacing w:before="100" w:after="0" w:line="240" w:lineRule="auto"/>
        <w:ind w:firstLine="680"/>
        <w:jc w:val="both"/>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t>II. KẾT QUẢ CÔNG TÁC TIẾP CÔNG DÂN, GIẢI QUYẾT KNTC</w:t>
      </w:r>
    </w:p>
    <w:p>
      <w:pPr>
        <w:spacing w:before="100" w:after="0" w:line="240" w:lineRule="auto"/>
        <w:ind w:firstLine="680"/>
        <w:jc w:val="both"/>
        <w:rPr>
          <w:rFonts w:ascii="Times New Roman" w:eastAsia="Calibri" w:hAnsi="Times New Roman" w:cs="Times New Roman"/>
          <w:b/>
          <w:sz w:val="28"/>
          <w:szCs w:val="28"/>
          <w:lang w:val="es-AR"/>
        </w:rPr>
      </w:pPr>
      <w:r>
        <w:rPr>
          <w:rFonts w:ascii="Times New Roman" w:eastAsia="Calibri" w:hAnsi="Times New Roman" w:cs="Times New Roman"/>
          <w:b/>
          <w:sz w:val="28"/>
          <w:szCs w:val="28"/>
          <w:lang w:val="es-AR"/>
        </w:rPr>
        <w:t>1. Tình hình KNTC</w:t>
      </w:r>
    </w:p>
    <w:p>
      <w:pPr>
        <w:spacing w:before="100" w:after="0" w:line="240" w:lineRule="auto"/>
        <w:ind w:firstLine="680"/>
        <w:jc w:val="both"/>
        <w:rPr>
          <w:rFonts w:ascii="Times New Roman" w:hAnsi="Times New Roman" w:cs="Times New Roman"/>
          <w:sz w:val="28"/>
          <w:szCs w:val="28"/>
        </w:rPr>
      </w:pPr>
      <w:r>
        <w:rPr>
          <w:rFonts w:ascii="Times New Roman" w:eastAsia="Arial" w:hAnsi="Times New Roman" w:cs="Times New Roman"/>
          <w:sz w:val="28"/>
          <w:szCs w:val="28"/>
          <w:shd w:val="clear" w:color="auto" w:fill="FFFFFF"/>
          <w:lang w:val="es-AR"/>
        </w:rPr>
        <w:t xml:space="preserve">UBND tỉnh đã chủ động xây dựng, triển khai các chương trình, kế hoạch, văn bản chỉ đạo về công tác tiếp dân, giải quyết KNTC có trọng tâm, trọng điểm, trong đó chú trọng giải quyết có hiệu quả, dứt điểm đối với những vụ việc có tính nhạy cảm, bức xúc trong Nhân dân; có sự phối hợp chặt chẽ với các cơ quan, đoàn thể có liên quan trong việc thực thi pháp luật về KNTC; xử lý kịp thời những vụ việc phát sinh mang tính chất gay gắt, phức tạp, không để xảy ra điểm nóng, góp phần giữ vững ổn định tình hình, phát triển kinh tế - xã hội. </w:t>
      </w:r>
      <w:r>
        <w:rPr>
          <w:rFonts w:ascii="Times New Roman" w:eastAsia="Calibri" w:hAnsi="Times New Roman" w:cs="Times New Roman"/>
          <w:sz w:val="28"/>
          <w:szCs w:val="28"/>
        </w:rPr>
        <w:t>Tình hình đơn thư KNTC, KNPA trên địa bàn s</w:t>
      </w:r>
      <w:r>
        <w:rPr>
          <w:rFonts w:ascii="Times New Roman" w:hAnsi="Times New Roman" w:cs="Times New Roman"/>
          <w:sz w:val="28"/>
          <w:szCs w:val="28"/>
        </w:rPr>
        <w:t>áu tháng đầu năm 2025 cơ bản đã được các sở, ngành, địa phương tiếp nhận, xử lý theo quy định, tập trung một đầu mối. UBND tỉnh thường xuyên rà soát, đôn đốc giải quyết các vụ việc mới phát sinh ngay tại cơ sở, chỉ đạo phát huy vai trò hòa giải, đối thoại với công dân, cho nên tình hình đơn thư KNTC, KNPA trên địa bàn không có diễn biến phức tạp. Tuy vậy, vẫn còn một số vụ việc mặc dù các cấp, các ngành đã tập trung tham mưu giải quyết nhưng vẫn chưa dứt điểm.</w:t>
      </w:r>
    </w:p>
    <w:p>
      <w:pPr>
        <w:spacing w:before="100" w:after="0" w:line="240" w:lineRule="auto"/>
        <w:ind w:firstLine="680"/>
        <w:jc w:val="both"/>
        <w:rPr>
          <w:rFonts w:ascii="Times New Roman" w:eastAsia="Calibri" w:hAnsi="Times New Roman" w:cs="Times New Roman"/>
          <w:b/>
          <w:i/>
          <w:sz w:val="28"/>
          <w:szCs w:val="28"/>
          <w:lang w:val="en-GB"/>
        </w:rPr>
      </w:pPr>
      <w:r>
        <w:rPr>
          <w:rFonts w:ascii="Times New Roman" w:eastAsia="Calibri" w:hAnsi="Times New Roman" w:cs="Times New Roman"/>
          <w:b/>
          <w:i/>
          <w:sz w:val="28"/>
          <w:szCs w:val="28"/>
        </w:rPr>
        <w:t>1.1. Về khiếu nại</w:t>
      </w:r>
    </w:p>
    <w:p>
      <w:pPr>
        <w:pStyle w:val="FootnoteText"/>
        <w:spacing w:before="100"/>
        <w:ind w:firstLine="680"/>
        <w:jc w:val="both"/>
      </w:pPr>
      <w:r>
        <w:rPr>
          <w:rFonts w:eastAsia="Calibri"/>
          <w:bCs/>
          <w:sz w:val="28"/>
          <w:szCs w:val="28"/>
          <w:lang w:val="pt-BR"/>
        </w:rPr>
        <w:t xml:space="preserve">Số lượng đơn có nội dung khiếu nại trên địa bàn tỉnh 6 tháng đầu năm 2025 giảm </w:t>
      </w:r>
      <w:r>
        <w:rPr>
          <w:rFonts w:eastAsia="Calibri"/>
          <w:sz w:val="28"/>
          <w:szCs w:val="28"/>
        </w:rPr>
        <w:t>so với cùng kỳ năm 2024</w:t>
      </w:r>
      <w:r>
        <w:rPr>
          <w:rFonts w:eastAsia="Calibri"/>
          <w:i/>
          <w:sz w:val="28"/>
          <w:szCs w:val="28"/>
        </w:rPr>
        <w:t xml:space="preserve"> (giảm 44 đơn: 27/71).</w:t>
      </w:r>
      <w:r>
        <w:rPr>
          <w:rFonts w:eastAsia="Calibri"/>
          <w:sz w:val="28"/>
          <w:szCs w:val="28"/>
          <w:lang w:val="pt-BR"/>
        </w:rPr>
        <w:t xml:space="preserve"> Nội dung </w:t>
      </w:r>
      <w:r>
        <w:rPr>
          <w:rFonts w:eastAsia="Calibri"/>
          <w:sz w:val="28"/>
          <w:szCs w:val="28"/>
        </w:rPr>
        <w:t xml:space="preserve">khiếu </w:t>
      </w:r>
      <w:r>
        <w:rPr>
          <w:rFonts w:eastAsia="Calibri"/>
          <w:sz w:val="28"/>
          <w:szCs w:val="28"/>
          <w:lang w:val="pt-BR"/>
        </w:rPr>
        <w:t>nại</w:t>
      </w:r>
      <w:r>
        <w:rPr>
          <w:rFonts w:eastAsia="Calibri"/>
          <w:sz w:val="28"/>
          <w:szCs w:val="28"/>
        </w:rPr>
        <w:t xml:space="preserve"> chủ yếu tập trung vào công tác thu hồi đất, bồi thường</w:t>
      </w:r>
      <w:r>
        <w:rPr>
          <w:rFonts w:eastAsia="Calibri"/>
          <w:sz w:val="28"/>
          <w:szCs w:val="28"/>
          <w:lang w:val="en-GB"/>
        </w:rPr>
        <w:t xml:space="preserve"> giải phóng mặt bằng (GPMB)</w:t>
      </w:r>
      <w:r>
        <w:rPr>
          <w:rFonts w:eastAsia="Calibri"/>
          <w:sz w:val="28"/>
          <w:szCs w:val="28"/>
        </w:rPr>
        <w:t>, tái định cư các</w:t>
      </w:r>
      <w:r>
        <w:rPr>
          <w:rFonts w:eastAsia="Calibri"/>
          <w:sz w:val="28"/>
          <w:szCs w:val="28"/>
          <w:lang w:val="en-GB"/>
        </w:rPr>
        <w:t xml:space="preserve"> công trình</w:t>
      </w:r>
      <w:r>
        <w:rPr>
          <w:rFonts w:eastAsia="Calibri"/>
          <w:sz w:val="28"/>
          <w:szCs w:val="28"/>
        </w:rPr>
        <w:t xml:space="preserve"> dự án; khiếu nại việc cấp mới, cấp đổi giấy chứng nhận quyền sử dụng (CNQSD) đất; khiếu nại về xử phạt vi phạm hành chính.</w:t>
      </w:r>
      <w:r>
        <w:rPr>
          <w:rFonts w:eastAsia="Calibri"/>
          <w:sz w:val="28"/>
          <w:szCs w:val="28"/>
          <w:lang w:val="pt-BR"/>
        </w:rPr>
        <w:t xml:space="preserve"> </w:t>
      </w:r>
    </w:p>
    <w:p>
      <w:pPr>
        <w:spacing w:before="100" w:after="0" w:line="240" w:lineRule="auto"/>
        <w:ind w:firstLine="680"/>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1.2. Về tố cáo</w:t>
      </w:r>
    </w:p>
    <w:p>
      <w:pPr>
        <w:spacing w:before="100" w:after="0" w:line="240" w:lineRule="auto"/>
        <w:ind w:firstLine="680"/>
        <w:jc w:val="both"/>
        <w:rPr>
          <w:rFonts w:ascii="Times New Roman" w:eastAsia="Calibri" w:hAnsi="Times New Roman" w:cs="Times New Roman"/>
          <w:bCs/>
          <w:sz w:val="28"/>
          <w:szCs w:val="28"/>
          <w:lang w:val="pt-BR"/>
        </w:rPr>
      </w:pPr>
      <w:r>
        <w:rPr>
          <w:rFonts w:ascii="Times New Roman" w:eastAsia="Calibri" w:hAnsi="Times New Roman" w:cs="Times New Roman"/>
          <w:bCs/>
          <w:sz w:val="28"/>
          <w:szCs w:val="28"/>
          <w:lang w:val="pt-BR"/>
        </w:rPr>
        <w:t>Tình hình tố cáo trên địa bàn tỉnh 6 tháng đầu năm 2025 giảm so với cùng kỳ năm 2024 (giảm 01 đơn: 13/14). Nội dung tố cáo chủ yếu vẫn tập trung vào hành vi của cán bộ, công chức trong thi hành nhiệm vụ, công vụ và những vụ việc khiếu nại không đạt được mục đích chuyển sang tố cáo.</w:t>
      </w:r>
    </w:p>
    <w:p>
      <w:pPr>
        <w:spacing w:before="100" w:after="0" w:line="240" w:lineRule="auto"/>
        <w:ind w:firstLine="680"/>
        <w:jc w:val="both"/>
        <w:rPr>
          <w:rFonts w:ascii="Times New Roman" w:hAnsi="Times New Roman" w:cs="Times New Roman"/>
          <w:b/>
          <w:sz w:val="28"/>
          <w:szCs w:val="28"/>
          <w:lang w:val="pt-BR"/>
        </w:rPr>
      </w:pPr>
      <w:r>
        <w:rPr>
          <w:rFonts w:ascii="Times New Roman" w:eastAsia="Times New Roman" w:hAnsi="Times New Roman" w:cs="Times New Roman"/>
          <w:b/>
          <w:sz w:val="28"/>
          <w:szCs w:val="28"/>
          <w:lang w:val="de-DE"/>
        </w:rPr>
        <w:t xml:space="preserve">2. </w:t>
      </w:r>
      <w:r>
        <w:rPr>
          <w:rFonts w:ascii="Times New Roman" w:eastAsia="Times New Roman" w:hAnsi="Times New Roman" w:cs="Times New Roman"/>
          <w:b/>
          <w:sz w:val="28"/>
          <w:szCs w:val="28"/>
          <w:lang w:val="vi-VN"/>
        </w:rPr>
        <w:t>Kết quả cụ thể</w:t>
      </w:r>
    </w:p>
    <w:p>
      <w:pPr>
        <w:spacing w:before="100" w:after="0" w:line="240" w:lineRule="auto"/>
        <w:ind w:firstLine="680"/>
        <w:jc w:val="both"/>
        <w:rPr>
          <w:rFonts w:ascii="Times New Roman" w:hAnsi="Times New Roman" w:cs="Times New Roman"/>
          <w:b/>
          <w:i/>
          <w:sz w:val="28"/>
          <w:szCs w:val="28"/>
          <w:lang w:val="pt-BR"/>
        </w:rPr>
      </w:pPr>
      <w:r>
        <w:rPr>
          <w:rFonts w:ascii="Times New Roman" w:hAnsi="Times New Roman" w:cs="Times New Roman"/>
          <w:b/>
          <w:i/>
          <w:sz w:val="28"/>
          <w:szCs w:val="28"/>
          <w:lang w:val="pt-BR"/>
        </w:rPr>
        <w:t xml:space="preserve">2.1. Công tác tiếp công dân </w:t>
      </w:r>
    </w:p>
    <w:p>
      <w:pPr>
        <w:spacing w:before="100" w:after="0" w:line="240" w:lineRule="auto"/>
        <w:ind w:firstLine="680"/>
        <w:jc w:val="both"/>
        <w:rPr>
          <w:rFonts w:ascii="Times New Roman" w:hAnsi="Times New Roman" w:cs="Times New Roman"/>
          <w:sz w:val="28"/>
          <w:szCs w:val="28"/>
          <w:lang w:val="sv-SE"/>
        </w:rPr>
      </w:pPr>
      <w:r>
        <w:rPr>
          <w:rFonts w:ascii="Times New Roman" w:hAnsi="Times New Roman" w:cs="Times New Roman"/>
          <w:sz w:val="28"/>
          <w:szCs w:val="28"/>
          <w:lang w:val="pt-BR"/>
        </w:rPr>
        <w:t xml:space="preserve">Toàn tỉnh tổ chức tiếp: </w:t>
      </w:r>
      <w:r>
        <w:rPr>
          <w:rFonts w:ascii="Times New Roman" w:hAnsi="Times New Roman" w:cs="Times New Roman"/>
          <w:sz w:val="28"/>
          <w:szCs w:val="28"/>
          <w:lang w:val="sv-SE"/>
        </w:rPr>
        <w:t xml:space="preserve">2.462 lượt công dân; số người được tiếp: 3.173 người; số vụ việc: 2.013 vụ việc. </w:t>
      </w:r>
    </w:p>
    <w:p>
      <w:pPr>
        <w:spacing w:before="120" w:after="0" w:line="240" w:lineRule="auto"/>
        <w:ind w:firstLine="567"/>
        <w:jc w:val="both"/>
        <w:rPr>
          <w:rFonts w:ascii="Times New Roman" w:hAnsi="Times New Roman" w:cs="Times New Roman"/>
          <w:sz w:val="28"/>
          <w:szCs w:val="28"/>
          <w:lang w:val="sv-SE"/>
        </w:rPr>
      </w:pPr>
      <w:r>
        <w:rPr>
          <w:rFonts w:ascii="Times New Roman" w:hAnsi="Times New Roman" w:cs="Times New Roman"/>
          <w:sz w:val="28"/>
          <w:szCs w:val="28"/>
          <w:lang w:val="sv-SE"/>
        </w:rPr>
        <w:t>Số đoàn đông người được tiếp 45 lượt đoàn, số người được tiếp 526 người; trong đó: số vụ việc tiếp lần đầu: 137, số vụ việc tiếp nhiều lần: 27.</w:t>
      </w:r>
    </w:p>
    <w:p>
      <w:pPr>
        <w:spacing w:before="120" w:after="0" w:line="240" w:lineRule="auto"/>
        <w:ind w:firstLine="567"/>
        <w:jc w:val="both"/>
        <w:rPr>
          <w:rFonts w:ascii="Times New Roman" w:hAnsi="Times New Roman" w:cs="Times New Roman"/>
          <w:b/>
          <w:i/>
          <w:sz w:val="28"/>
          <w:szCs w:val="28"/>
          <w:lang w:val="pt-BR"/>
        </w:rPr>
      </w:pPr>
      <w:r>
        <w:rPr>
          <w:rFonts w:ascii="Times New Roman" w:hAnsi="Times New Roman" w:cs="Times New Roman"/>
          <w:b/>
          <w:i/>
          <w:sz w:val="28"/>
          <w:szCs w:val="28"/>
          <w:lang w:val="pt-BR"/>
        </w:rPr>
        <w:t xml:space="preserve">2.2. Tiếp nhận, phân loại và xử lý đơn </w:t>
      </w:r>
    </w:p>
    <w:p>
      <w:pPr>
        <w:spacing w:before="120" w:after="0" w:line="240" w:lineRule="auto"/>
        <w:ind w:firstLine="567"/>
        <w:jc w:val="both"/>
        <w:rPr>
          <w:rFonts w:ascii="Times New Roman" w:hAnsi="Times New Roman" w:cs="Times New Roman"/>
          <w:sz w:val="28"/>
          <w:szCs w:val="28"/>
          <w:lang w:val="sv-SE"/>
        </w:rPr>
      </w:pPr>
      <w:r>
        <w:rPr>
          <w:rFonts w:ascii="Times New Roman" w:hAnsi="Times New Roman" w:cs="Times New Roman"/>
          <w:i/>
          <w:sz w:val="28"/>
          <w:szCs w:val="28"/>
          <w:lang w:val="sv-SE"/>
        </w:rPr>
        <w:t xml:space="preserve">a) Tổng số đơn: </w:t>
      </w:r>
      <w:r>
        <w:rPr>
          <w:rFonts w:ascii="Times New Roman" w:hAnsi="Times New Roman" w:cs="Times New Roman"/>
          <w:sz w:val="28"/>
          <w:szCs w:val="28"/>
          <w:lang w:val="sv-SE"/>
        </w:rPr>
        <w:t xml:space="preserve">3.234 đơn (kỳ trước chuyển sang: 154 đơn, tiếp nhận trong kỳ: 2.080 đơn); số đơn đã xử lý: 2.188 đơn </w:t>
      </w:r>
    </w:p>
    <w:p>
      <w:pPr>
        <w:spacing w:before="120" w:after="0" w:line="240" w:lineRule="auto"/>
        <w:ind w:firstLine="567"/>
        <w:jc w:val="both"/>
        <w:rPr>
          <w:rFonts w:ascii="Times New Roman" w:hAnsi="Times New Roman" w:cs="Times New Roman"/>
          <w:sz w:val="28"/>
          <w:szCs w:val="28"/>
          <w:lang w:val="sv-SE"/>
        </w:rPr>
      </w:pPr>
      <w:r>
        <w:rPr>
          <w:rFonts w:ascii="Times New Roman" w:hAnsi="Times New Roman" w:cs="Times New Roman"/>
          <w:sz w:val="28"/>
          <w:szCs w:val="28"/>
          <w:lang w:val="sv-SE"/>
        </w:rPr>
        <w:t>- Số đơn đủ điều kiện xử lý 1.610 đơn/số vụ việc đủ điều kiện 1.458 vụ việc.</w:t>
      </w:r>
    </w:p>
    <w:p>
      <w:pPr>
        <w:spacing w:before="120" w:after="0" w:line="240" w:lineRule="auto"/>
        <w:ind w:firstLine="567"/>
        <w:jc w:val="both"/>
        <w:rPr>
          <w:rFonts w:ascii="Times New Roman" w:hAnsi="Times New Roman" w:cs="Times New Roman"/>
          <w:i/>
          <w:sz w:val="28"/>
          <w:szCs w:val="28"/>
          <w:lang w:val="sv-SE"/>
        </w:rPr>
      </w:pPr>
      <w:r>
        <w:rPr>
          <w:rFonts w:ascii="Times New Roman" w:hAnsi="Times New Roman" w:cs="Times New Roman"/>
          <w:i/>
          <w:sz w:val="28"/>
          <w:szCs w:val="28"/>
          <w:lang w:val="sv-SE"/>
        </w:rPr>
        <w:t>b) Phân loại, xử lý đơn</w:t>
      </w:r>
    </w:p>
    <w:p>
      <w:pPr>
        <w:spacing w:before="120" w:after="0" w:line="240" w:lineRule="auto"/>
        <w:ind w:firstLine="567"/>
        <w:jc w:val="both"/>
        <w:rPr>
          <w:rFonts w:ascii="Times New Roman" w:hAnsi="Times New Roman" w:cs="Times New Roman"/>
          <w:sz w:val="28"/>
          <w:szCs w:val="28"/>
          <w:lang w:val="sv-SE"/>
        </w:rPr>
      </w:pPr>
      <w:r>
        <w:rPr>
          <w:rFonts w:ascii="Times New Roman" w:hAnsi="Times New Roman" w:cs="Times New Roman"/>
          <w:sz w:val="28"/>
          <w:szCs w:val="28"/>
          <w:lang w:val="sv-SE"/>
        </w:rPr>
        <w:t>- Phân loại theo nội dung đơn: 1.610 đơn (KN: 107 đơn; TC: 50 đơn; KNPA: 1.453 đơn)</w:t>
      </w:r>
    </w:p>
    <w:p>
      <w:pPr>
        <w:spacing w:before="120" w:after="0" w:line="240" w:lineRule="auto"/>
        <w:ind w:firstLine="567"/>
        <w:jc w:val="both"/>
        <w:rPr>
          <w:rFonts w:ascii="Times New Roman" w:hAnsi="Times New Roman" w:cs="Times New Roman"/>
          <w:sz w:val="28"/>
          <w:szCs w:val="28"/>
          <w:lang w:val="sv-SE"/>
        </w:rPr>
      </w:pPr>
      <w:r>
        <w:rPr>
          <w:rFonts w:ascii="Times New Roman" w:hAnsi="Times New Roman" w:cs="Times New Roman"/>
          <w:sz w:val="28"/>
          <w:szCs w:val="28"/>
          <w:lang w:val="sv-SE"/>
        </w:rPr>
        <w:t>- Phân loại theo tình trạng giải quyết: 1.610 đơn (trong đó: số đơn đã giải quyết lần đầu: 1.233 đơn; số đơn đã giải quyết nhiều lần: 177 đơn; số đơn chưa giải quyết xong: 200 đơn).</w:t>
      </w:r>
    </w:p>
    <w:p>
      <w:pPr>
        <w:spacing w:before="120" w:after="0" w:line="240" w:lineRule="auto"/>
        <w:ind w:firstLine="567"/>
        <w:jc w:val="both"/>
        <w:rPr>
          <w:rFonts w:ascii="Times New Roman" w:hAnsi="Times New Roman" w:cs="Times New Roman"/>
          <w:i/>
          <w:sz w:val="28"/>
          <w:szCs w:val="28"/>
          <w:lang w:val="sv-SE"/>
        </w:rPr>
      </w:pPr>
      <w:r>
        <w:rPr>
          <w:rFonts w:ascii="Times New Roman" w:hAnsi="Times New Roman" w:cs="Times New Roman"/>
          <w:i/>
          <w:sz w:val="28"/>
          <w:szCs w:val="28"/>
          <w:lang w:val="sv-SE"/>
        </w:rPr>
        <w:t xml:space="preserve">c) Kết quả xử lý đơn </w:t>
      </w:r>
    </w:p>
    <w:p>
      <w:pPr>
        <w:spacing w:before="120" w:after="0" w:line="240" w:lineRule="auto"/>
        <w:ind w:firstLine="567"/>
        <w:jc w:val="both"/>
        <w:rPr>
          <w:rFonts w:ascii="Times New Roman" w:hAnsi="Times New Roman" w:cs="Times New Roman"/>
          <w:sz w:val="28"/>
          <w:szCs w:val="28"/>
          <w:lang w:val="sv-SE"/>
        </w:rPr>
      </w:pPr>
      <w:r>
        <w:rPr>
          <w:rFonts w:ascii="Times New Roman" w:hAnsi="Times New Roman" w:cs="Times New Roman"/>
          <w:sz w:val="28"/>
          <w:szCs w:val="28"/>
          <w:lang w:val="sv-SE"/>
        </w:rPr>
        <w:t>- Số đơn thuộc thẩm quyền: 1.026 đơn (TN: 27 đơn; TC: 13 đơn; KNPA: 986 đơn).</w:t>
      </w:r>
    </w:p>
    <w:p>
      <w:pPr>
        <w:spacing w:before="120" w:after="0" w:line="240" w:lineRule="auto"/>
        <w:ind w:firstLine="567"/>
        <w:jc w:val="both"/>
        <w:rPr>
          <w:rFonts w:ascii="Times New Roman" w:hAnsi="Times New Roman" w:cs="Times New Roman"/>
          <w:sz w:val="28"/>
          <w:szCs w:val="28"/>
          <w:lang w:val="sv-SE"/>
        </w:rPr>
      </w:pPr>
      <w:r>
        <w:rPr>
          <w:rFonts w:ascii="Times New Roman" w:hAnsi="Times New Roman" w:cs="Times New Roman"/>
          <w:sz w:val="28"/>
          <w:szCs w:val="28"/>
          <w:lang w:val="sv-SE"/>
        </w:rPr>
        <w:t>- Số đơn không thuộc thẩm quyền: 584 đơn.</w:t>
      </w:r>
    </w:p>
    <w:p>
      <w:pPr>
        <w:spacing w:before="120" w:after="0" w:line="240" w:lineRule="auto"/>
        <w:ind w:firstLine="567"/>
        <w:jc w:val="both"/>
        <w:rPr>
          <w:rFonts w:ascii="Times New Roman" w:hAnsi="Times New Roman" w:cs="Times New Roman"/>
          <w:b/>
          <w:i/>
          <w:sz w:val="28"/>
          <w:szCs w:val="28"/>
          <w:lang w:val="pt-BR"/>
        </w:rPr>
      </w:pPr>
      <w:r>
        <w:rPr>
          <w:rFonts w:ascii="Times New Roman" w:hAnsi="Times New Roman" w:cs="Times New Roman"/>
          <w:b/>
          <w:i/>
          <w:sz w:val="28"/>
          <w:szCs w:val="28"/>
          <w:lang w:val="pt-BR"/>
        </w:rPr>
        <w:t xml:space="preserve">2.3. Kết quả giải quyết KN,TC, KNPA thuộc thẩm quyền </w:t>
      </w:r>
    </w:p>
    <w:p>
      <w:pPr>
        <w:spacing w:before="120" w:after="0" w:line="240" w:lineRule="auto"/>
        <w:ind w:firstLine="567"/>
        <w:jc w:val="both"/>
        <w:rPr>
          <w:rFonts w:ascii="Times New Roman" w:hAnsi="Times New Roman" w:cs="Times New Roman"/>
          <w:sz w:val="28"/>
          <w:szCs w:val="28"/>
          <w:lang w:val="sv-SE"/>
        </w:rPr>
      </w:pPr>
      <w:r>
        <w:rPr>
          <w:rFonts w:ascii="Times New Roman" w:hAnsi="Times New Roman" w:cs="Times New Roman"/>
          <w:sz w:val="28"/>
          <w:szCs w:val="28"/>
          <w:lang w:val="sv-SE"/>
        </w:rPr>
        <w:t>Tổng số vụ việc đã giải quyết 818 vụ việc (KN: 17 vụ việc; TC: 07 vụ việc; KNPA: 794 vụ việc)/tổng số vụ việc phải giải quyết 985 vụ việc (KN: 23 vụ việc; TC: 09 vụ việc; KNPA: 953 vụ việc); tỷ lệ giải quyết 83,05%.</w:t>
      </w:r>
    </w:p>
    <w:p>
      <w:pPr>
        <w:spacing w:before="120" w:after="0" w:line="240" w:lineRule="auto"/>
        <w:ind w:firstLine="567"/>
        <w:jc w:val="both"/>
        <w:rPr>
          <w:rFonts w:ascii="Times New Roman" w:hAnsi="Times New Roman" w:cs="Times New Roman"/>
          <w:i/>
          <w:sz w:val="28"/>
          <w:szCs w:val="28"/>
          <w:lang w:val="sv-SE"/>
        </w:rPr>
      </w:pPr>
      <w:r>
        <w:rPr>
          <w:rFonts w:ascii="Times New Roman" w:hAnsi="Times New Roman" w:cs="Times New Roman"/>
          <w:i/>
          <w:sz w:val="28"/>
          <w:szCs w:val="28"/>
          <w:lang w:val="sv-SE"/>
        </w:rPr>
        <w:t xml:space="preserve">a) Kết quả giải quyết khiếu nại </w:t>
      </w:r>
    </w:p>
    <w:p>
      <w:pPr>
        <w:spacing w:before="120" w:after="0" w:line="240" w:lineRule="auto"/>
        <w:ind w:firstLine="567"/>
        <w:jc w:val="both"/>
        <w:rPr>
          <w:rFonts w:ascii="Times New Roman" w:hAnsi="Times New Roman" w:cs="Times New Roman"/>
          <w:sz w:val="28"/>
          <w:szCs w:val="28"/>
          <w:lang w:val="sv-SE"/>
        </w:rPr>
      </w:pPr>
      <w:r>
        <w:rPr>
          <w:rFonts w:ascii="Times New Roman" w:hAnsi="Times New Roman" w:cs="Times New Roman"/>
          <w:sz w:val="28"/>
          <w:szCs w:val="28"/>
          <w:lang w:val="sv-SE"/>
        </w:rPr>
        <w:t>- Tổng số vụ việc đã giải quyết 17 vụ việc/tổng số vụ việc phải giải quyết 23 vụ việc; tỷ lệ giải quyết 73,91%.</w:t>
      </w:r>
    </w:p>
    <w:p>
      <w:pPr>
        <w:spacing w:before="120" w:after="0" w:line="240" w:lineRule="auto"/>
        <w:ind w:firstLine="567"/>
        <w:jc w:val="both"/>
        <w:rPr>
          <w:rFonts w:ascii="Times New Roman" w:hAnsi="Times New Roman" w:cs="Times New Roman"/>
          <w:sz w:val="28"/>
          <w:szCs w:val="28"/>
          <w:lang w:val="pt-BR"/>
        </w:rPr>
      </w:pPr>
      <w:r>
        <w:rPr>
          <w:rFonts w:ascii="Times New Roman" w:hAnsi="Times New Roman" w:cs="Times New Roman"/>
          <w:sz w:val="28"/>
          <w:szCs w:val="28"/>
          <w:lang w:val="pt-BR"/>
        </w:rPr>
        <w:t>- Số vụ việc đã giải quyết bằng quyết định hành chính: 10, số vụ việc công dân rút đơn ban hành thông qua giải thích, thuyết phục: 07. Tổng số quyết định hành chính đã thực hiện là 01; Kiến nghị trả cho cá nhân 811,4 m</w:t>
      </w:r>
      <w:r>
        <w:rPr>
          <w:rFonts w:ascii="Times New Roman" w:hAnsi="Times New Roman" w:cs="Times New Roman"/>
          <w:sz w:val="28"/>
          <w:szCs w:val="28"/>
          <w:vertAlign w:val="superscript"/>
          <w:lang w:val="pt-BR"/>
        </w:rPr>
        <w:t xml:space="preserve">2 </w:t>
      </w:r>
      <w:r>
        <w:rPr>
          <w:rFonts w:ascii="Times New Roman" w:hAnsi="Times New Roman" w:cs="Times New Roman"/>
          <w:sz w:val="28"/>
          <w:szCs w:val="28"/>
          <w:lang w:val="pt-BR"/>
        </w:rPr>
        <w:t xml:space="preserve">đất. </w:t>
      </w:r>
    </w:p>
    <w:p>
      <w:pPr>
        <w:spacing w:before="120" w:after="0" w:line="240" w:lineRule="auto"/>
        <w:ind w:firstLine="567"/>
        <w:jc w:val="both"/>
        <w:rPr>
          <w:rFonts w:ascii="Times New Roman" w:hAnsi="Times New Roman" w:cs="Times New Roman"/>
          <w:i/>
          <w:sz w:val="28"/>
          <w:szCs w:val="28"/>
          <w:lang w:val="sv-SE"/>
        </w:rPr>
      </w:pPr>
      <w:r>
        <w:rPr>
          <w:rFonts w:ascii="Times New Roman" w:hAnsi="Times New Roman" w:cs="Times New Roman"/>
          <w:i/>
          <w:sz w:val="28"/>
          <w:szCs w:val="28"/>
          <w:lang w:val="sv-SE"/>
        </w:rPr>
        <w:t xml:space="preserve">b) Kết quả giải quyết tố cáo </w:t>
      </w:r>
    </w:p>
    <w:p>
      <w:pPr>
        <w:spacing w:before="120" w:after="0" w:line="240" w:lineRule="auto"/>
        <w:ind w:firstLine="567"/>
        <w:jc w:val="both"/>
        <w:rPr>
          <w:rFonts w:ascii="Times New Roman" w:hAnsi="Times New Roman" w:cs="Times New Roman"/>
          <w:sz w:val="28"/>
          <w:szCs w:val="28"/>
          <w:lang w:val="sv-SE"/>
        </w:rPr>
      </w:pPr>
      <w:r>
        <w:rPr>
          <w:rFonts w:ascii="Times New Roman" w:hAnsi="Times New Roman" w:cs="Times New Roman"/>
          <w:sz w:val="28"/>
          <w:szCs w:val="28"/>
          <w:lang w:val="sv-SE"/>
        </w:rPr>
        <w:t>- Tổng số vụ việc đã giải quyết 07 vụ việc/tổng số vụ việc phải giải quyết 09 vụ việc; tỷ lệ giải quyết 77,78%.</w:t>
      </w:r>
    </w:p>
    <w:p>
      <w:pPr>
        <w:spacing w:before="120" w:after="0" w:line="240" w:lineRule="auto"/>
        <w:ind w:firstLine="567"/>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Số kết luận phải thực hiện 05 kết luận/05 kết luận đã thực hiện, 07 vụ việc rút toàn bộ nội dung đơn .</w:t>
      </w:r>
    </w:p>
    <w:p>
      <w:pPr>
        <w:spacing w:before="120" w:after="0" w:line="240" w:lineRule="auto"/>
        <w:ind w:firstLine="567"/>
        <w:jc w:val="both"/>
        <w:rPr>
          <w:rFonts w:ascii="Times New Roman" w:hAnsi="Times New Roman" w:cs="Times New Roman"/>
          <w:i/>
          <w:sz w:val="28"/>
          <w:szCs w:val="28"/>
          <w:lang w:val="sv-SE"/>
        </w:rPr>
      </w:pPr>
      <w:r>
        <w:rPr>
          <w:rFonts w:ascii="Times New Roman" w:hAnsi="Times New Roman" w:cs="Times New Roman"/>
          <w:i/>
          <w:sz w:val="28"/>
          <w:szCs w:val="28"/>
          <w:lang w:val="sv-SE"/>
        </w:rPr>
        <w:t xml:space="preserve">c) Kết quả giải quyết KNPA </w:t>
      </w:r>
    </w:p>
    <w:p>
      <w:pPr>
        <w:spacing w:before="120" w:after="0" w:line="240" w:lineRule="auto"/>
        <w:ind w:firstLine="567"/>
        <w:jc w:val="both"/>
        <w:rPr>
          <w:rFonts w:ascii="Times New Roman" w:hAnsi="Times New Roman" w:cs="Times New Roman"/>
          <w:sz w:val="28"/>
          <w:szCs w:val="28"/>
          <w:lang w:val="sv-SE"/>
        </w:rPr>
      </w:pPr>
      <w:r>
        <w:rPr>
          <w:rFonts w:ascii="Times New Roman" w:hAnsi="Times New Roman" w:cs="Times New Roman"/>
          <w:sz w:val="28"/>
          <w:szCs w:val="28"/>
          <w:lang w:val="sv-SE"/>
        </w:rPr>
        <w:t>Tổng số vụ việc KNPA đã giải quyết: 794 vụ việc/953 vụ việc phải giải quyết, đạt tỷ lệ 83,32%.</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b/>
          <w:i/>
          <w:sz w:val="28"/>
          <w:szCs w:val="28"/>
          <w:lang w:val="de-DE"/>
        </w:rPr>
      </w:pPr>
      <w:r>
        <w:rPr>
          <w:rFonts w:ascii="Times New Roman" w:eastAsia="Calibri" w:hAnsi="Times New Roman" w:cs="Times New Roman"/>
          <w:b/>
          <w:i/>
          <w:sz w:val="28"/>
          <w:szCs w:val="28"/>
          <w:lang w:val="de-DE"/>
        </w:rPr>
        <w:t>2.4</w:t>
      </w:r>
      <w:r>
        <w:rPr>
          <w:rFonts w:ascii="Times New Roman" w:eastAsia="Calibri" w:hAnsi="Times New Roman" w:cs="Times New Roman"/>
          <w:b/>
          <w:i/>
          <w:sz w:val="28"/>
          <w:szCs w:val="28"/>
          <w:lang w:val="vi-VN"/>
        </w:rPr>
        <w:t xml:space="preserve">. </w:t>
      </w:r>
      <w:r>
        <w:rPr>
          <w:rFonts w:ascii="Times New Roman" w:eastAsia="Calibri" w:hAnsi="Times New Roman" w:cs="Times New Roman"/>
          <w:b/>
          <w:i/>
          <w:sz w:val="28"/>
          <w:szCs w:val="28"/>
          <w:lang w:val="de-DE"/>
        </w:rPr>
        <w:t xml:space="preserve">Bảo vệ người tố cáo </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b/>
          <w:sz w:val="28"/>
          <w:szCs w:val="28"/>
          <w:lang w:val="de-DE"/>
        </w:rPr>
      </w:pPr>
      <w:r>
        <w:rPr>
          <w:rFonts w:ascii="Times New Roman" w:eastAsia="Times New Roman" w:hAnsi="Times New Roman" w:cs="Times New Roman"/>
          <w:sz w:val="28"/>
          <w:szCs w:val="28"/>
          <w:lang w:val="de-DE"/>
        </w:rPr>
        <w:t>Trong kỳ, UBND tỉnh đã thực hiện nghiêm túc việc bảo đảm bí mật của người tố cáo, giao Thanh tra tỉnh thường xuyên đôn đốc, theo dõi, hướng dẫn các cấp, các ngành trong xử lý đơn tố cáo, không để lộ thông tin về người tố cáo trong</w:t>
      </w:r>
      <w:r>
        <w:rPr>
          <w:rFonts w:ascii="Times New Roman" w:eastAsia="Times New Roman" w:hAnsi="Times New Roman" w:cs="Times New Roman"/>
          <w:sz w:val="28"/>
          <w:szCs w:val="28"/>
          <w:lang w:val="vi-VN"/>
        </w:rPr>
        <w:t xml:space="preserve"> quá</w:t>
      </w:r>
      <w:r>
        <w:rPr>
          <w:rFonts w:ascii="Times New Roman" w:eastAsia="Times New Roman" w:hAnsi="Times New Roman" w:cs="Times New Roman"/>
          <w:sz w:val="28"/>
          <w:szCs w:val="28"/>
          <w:lang w:val="de-DE"/>
        </w:rPr>
        <w:t xml:space="preserve"> trình thụ lý, giải quyết vụ việc.</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b/>
          <w:bCs/>
          <w:spacing w:val="-2"/>
          <w:sz w:val="28"/>
          <w:szCs w:val="28"/>
          <w:lang w:val="de-DE"/>
        </w:rPr>
      </w:pPr>
      <w:r>
        <w:rPr>
          <w:rFonts w:ascii="Times New Roman" w:eastAsia="Arial" w:hAnsi="Times New Roman" w:cs="Times New Roman"/>
          <w:b/>
          <w:sz w:val="28"/>
          <w:szCs w:val="28"/>
          <w:lang w:val="de-DE"/>
        </w:rPr>
        <w:t>3</w:t>
      </w:r>
      <w:r>
        <w:rPr>
          <w:rFonts w:ascii="Times New Roman" w:eastAsia="Arial" w:hAnsi="Times New Roman" w:cs="Times New Roman"/>
          <w:b/>
          <w:sz w:val="28"/>
          <w:szCs w:val="28"/>
          <w:lang w:val="vi-VN"/>
        </w:rPr>
        <w:t xml:space="preserve">. </w:t>
      </w:r>
      <w:r>
        <w:rPr>
          <w:rFonts w:ascii="Times New Roman" w:eastAsia="Times New Roman" w:hAnsi="Times New Roman" w:cs="Times New Roman"/>
          <w:b/>
          <w:bCs/>
          <w:spacing w:val="-2"/>
          <w:sz w:val="28"/>
          <w:szCs w:val="28"/>
          <w:lang w:val="de-DE"/>
        </w:rPr>
        <w:t>Kết quả rà soát các vụ việc tồn đọng kéo dài</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b/>
          <w:i/>
          <w:sz w:val="28"/>
          <w:szCs w:val="28"/>
        </w:rPr>
      </w:pPr>
      <w:r>
        <w:rPr>
          <w:rFonts w:ascii="Times New Roman" w:eastAsia="Times New Roman" w:hAnsi="Times New Roman" w:cs="Times New Roman"/>
          <w:b/>
          <w:bCs/>
          <w:i/>
          <w:spacing w:val="-2"/>
          <w:sz w:val="28"/>
          <w:szCs w:val="28"/>
          <w:lang w:val="de-DE"/>
        </w:rPr>
        <w:t xml:space="preserve">3.1. </w:t>
      </w:r>
      <w:r>
        <w:rPr>
          <w:rFonts w:ascii="Times New Roman" w:eastAsia="Times New Roman" w:hAnsi="Times New Roman" w:cs="Times New Roman"/>
          <w:b/>
          <w:i/>
          <w:sz w:val="28"/>
          <w:szCs w:val="28"/>
          <w:lang w:val="de-DE"/>
        </w:rPr>
        <w:t xml:space="preserve">Kết quả rà soát, giải quyết KNTC phức tạp, tồn đọng theo Kế hoạch số 363/KH-TTCP ngày 20/3/2019 của Thanh tra Chính phủ; </w:t>
      </w:r>
      <w:r>
        <w:rPr>
          <w:rFonts w:ascii="Times New Roman" w:eastAsia="Calibri" w:hAnsi="Times New Roman" w:cs="Times New Roman"/>
          <w:b/>
          <w:i/>
          <w:sz w:val="28"/>
          <w:szCs w:val="28"/>
        </w:rPr>
        <w:t>Kế hoạch số 1910/KH-TTCP ngày 29/10/2021 của Thanh tra Chính phủ</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spacing w:val="-4"/>
          <w:sz w:val="28"/>
          <w:szCs w:val="28"/>
          <w:lang w:val="it-IT"/>
        </w:rPr>
      </w:pPr>
      <w:r>
        <w:rPr>
          <w:rFonts w:ascii="Times New Roman" w:eastAsia="Times New Roman" w:hAnsi="Times New Roman" w:cs="Times New Roman"/>
          <w:spacing w:val="-4"/>
          <w:sz w:val="28"/>
          <w:szCs w:val="28"/>
          <w:lang w:val="it-IT"/>
        </w:rPr>
        <w:t>Quá trình rà soát, chỉ đạo xử lý, các cấp, ngành đã tham mưu giải quyết nhiều vụ việc phức tạp, kéo dài đảm bảo đúng thẩm quyền; kết quả giải quyết, cụ thể:</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sz w:val="28"/>
        </w:rPr>
      </w:pPr>
      <w:r>
        <w:rPr>
          <w:rFonts w:ascii="Times New Roman" w:eastAsia="Calibri" w:hAnsi="Times New Roman" w:cs="Times New Roman"/>
          <w:sz w:val="28"/>
        </w:rPr>
        <w:t>- Đối với các vụ việc tồn đọng kéo dài theo Kế hoạch số 363/KH-TTCP ngày 20/3/2019 của Thanh tra Chính phủ về kiểm tra, rà soát, giải quyết vụ việc KNTC đông người, phức tạp, kéo dài; Kế hoạch số 76/KH-TCT</w:t>
      </w:r>
      <w:r>
        <w:rPr>
          <w:rFonts w:ascii="Times New Roman" w:eastAsia="Calibri" w:hAnsi="Times New Roman" w:cs="Times New Roman"/>
          <w:sz w:val="28"/>
          <w:vertAlign w:val="subscript"/>
        </w:rPr>
        <w:t>m</w:t>
      </w:r>
      <w:r>
        <w:rPr>
          <w:rFonts w:ascii="Times New Roman" w:eastAsia="Calibri" w:hAnsi="Times New Roman" w:cs="Times New Roman"/>
          <w:sz w:val="28"/>
        </w:rPr>
        <w:t xml:space="preserve"> ngày 02/5/2019 của UBND tỉnh; Kế hoạch số 1910/KH-TTCP ngày 29/10/2021 của Thanh tra Chính phủ về rà soát các vụ việc KNTC đông người, phức tạp, kéo dài tại các cơ quan Trung ương. Đến nay còn 02 vụ việc đang giải quyết (đã có phương án giải quyết, hiện đang triển khai thực hiện): (1) Việc xử lý kiến nghị của một số hộ dân tại các phường: Kỳ Phương, Kỳ Long, Kỳ Liên, Kỳ Thịnh, Kỳ Trinh và xã Kỳ Nam, Kỳ Lợi thuộc thị xã Kỳ Anh về giá đất tại các khu tái định cư (tồn đọng 604 hộ tái định cư); (2) Việc xử lý kiến nghị của các hộ dân xã Kỳ Thượng, huyện Kỳ Anh liên quan đến bồi thường, hỗ trợ chuyển đổi nghề Dự án hồ chứa nước Rào Trổ thuộc Dự án cấp nước cho Khu kinh tế Vũng Áng. </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i/>
          <w:sz w:val="28"/>
          <w:szCs w:val="28"/>
          <w:lang w:val="nl-NL" w:eastAsia="vi-VN"/>
        </w:rPr>
      </w:pPr>
      <w:r>
        <w:rPr>
          <w:rFonts w:ascii="Times New Roman" w:eastAsia="Calibri" w:hAnsi="Times New Roman" w:cs="Times New Roman"/>
          <w:sz w:val="28"/>
        </w:rPr>
        <w:t>- Đối với các vụ việc do địa phương tự rà soát: có 01 vụ việc mặc dù đã giải quyết hết thẩm quyền, đã có ý kiến chỉ đạo giải quyết của cơ quan Trung ương nhưng công dân vẫn còn tiếp tục KNTC; 04 vụ việc khiếu nại đã được cấp ủy, chính quyền địa phương chỉ đạo giải quyết đúng trình tự, thủ tục theo quy định pháp luật; quyết định giải quyết khiếu nại đã có hiệu lực pháp luật nhưng công dân vẫn tiếp tục khiếu nại; 04 vụ việc tố cáo đã được cấp ủy, chính quyền địa phương chỉ đạo giải quyết đúng thẩm quyền, trình tự, thủ tục theo quy định của pháp luật, nhưng công dân vẫn tiếp tục tố cáo; 02 vụ việc tồn đọng, phức tạp, kéo dài đang được giải quyết</w:t>
      </w:r>
      <w:r>
        <w:rPr>
          <w:rFonts w:ascii="Times New Roman" w:hAnsi="Times New Roman" w:cs="Times New Roman"/>
          <w:i/>
          <w:sz w:val="28"/>
          <w:szCs w:val="28"/>
          <w:lang w:val="nl-NL" w:eastAsia="vi-VN"/>
        </w:rPr>
        <w:t xml:space="preserve"> (chi tiết các vụ việc tồn đọng có Phụ lục kèm theo).</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lang w:val="vi-VN"/>
        </w:rPr>
        <w:t xml:space="preserve">III. KẾT QUẢ CÔNG TÁC </w:t>
      </w:r>
      <w:r>
        <w:rPr>
          <w:rFonts w:ascii="Times New Roman" w:eastAsia="Times New Roman" w:hAnsi="Times New Roman" w:cs="Times New Roman"/>
          <w:b/>
          <w:sz w:val="26"/>
          <w:szCs w:val="26"/>
        </w:rPr>
        <w:t>PCTN</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b/>
          <w:sz w:val="28"/>
          <w:szCs w:val="28"/>
        </w:rPr>
      </w:pPr>
      <w:r>
        <w:rPr>
          <w:rFonts w:ascii="Times New Roman" w:eastAsia="Calibri" w:hAnsi="Times New Roman" w:cs="Times New Roman"/>
          <w:b/>
          <w:sz w:val="28"/>
          <w:szCs w:val="28"/>
        </w:rPr>
        <w:t>1. Kết quả công tác lãnh đạo, chỉ đạo việc thực hiện các quy định của pháp luật về PCTN; việc quán triệt, tuyên truyền, phổ biến chủ trương, chính sách, pháp luật về PCTN</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1.1. Công tác lãnh đạo, chỉ đạo, ban hành văn bản, hướng dẫn triển khai thực hiện các văn bản quy phạm pháp luật, văn bản chỉ đạo, điều hành của cấp trên trong công tác PCTN</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b/>
          <w:i/>
          <w:sz w:val="28"/>
          <w:szCs w:val="28"/>
        </w:rPr>
      </w:pPr>
      <w:r>
        <w:rPr>
          <w:rFonts w:ascii="Times New Roman" w:eastAsia="Times New Roman" w:hAnsi="Times New Roman" w:cs="Times New Roman"/>
          <w:sz w:val="28"/>
          <w:szCs w:val="28"/>
          <w:lang w:val="vi-VN"/>
        </w:rPr>
        <w:t xml:space="preserve">Tỉnh ủy, </w:t>
      </w:r>
      <w:r>
        <w:rPr>
          <w:rFonts w:ascii="Times New Roman" w:eastAsia="Times New Roman" w:hAnsi="Times New Roman" w:cs="Times New Roman"/>
          <w:sz w:val="28"/>
          <w:szCs w:val="28"/>
        </w:rPr>
        <w:t>UBND</w:t>
      </w:r>
      <w:r>
        <w:rPr>
          <w:rFonts w:ascii="Times New Roman" w:eastAsia="Times New Roman" w:hAnsi="Times New Roman" w:cs="Times New Roman"/>
          <w:sz w:val="28"/>
          <w:szCs w:val="28"/>
          <w:lang w:val="vi-VN"/>
        </w:rPr>
        <w:t xml:space="preserve"> tỉnh luôn xác định công tác PCTN, tiêu cực là nhiệm vụ trọng tâm, xuyên suốt, gắn liền với công tác xây dựng Đảng, xây dựng hệ thống chính trị trong sạch, vững mạnh và phát triển kinh tế - xã hội bền vững. Trên cơ sở các chủ trương, chính sách của Trung ương, tỉnh đã kịp thời ban hành và tổ chức triển khai đồng bộ nhiều văn bản lãnh đạo, chỉ đạo nhằm cụ thể hóa Luật </w:t>
      </w:r>
      <w:r>
        <w:rPr>
          <w:rFonts w:ascii="Times New Roman" w:eastAsia="Times New Roman" w:hAnsi="Times New Roman" w:cs="Times New Roman"/>
          <w:sz w:val="28"/>
          <w:szCs w:val="28"/>
        </w:rPr>
        <w:t>PCTN</w:t>
      </w:r>
      <w:r>
        <w:rPr>
          <w:rFonts w:ascii="Times New Roman" w:eastAsia="Times New Roman" w:hAnsi="Times New Roman" w:cs="Times New Roman"/>
          <w:sz w:val="28"/>
          <w:szCs w:val="28"/>
          <w:lang w:val="vi-VN"/>
        </w:rPr>
        <w:t xml:space="preserve"> năm 2018 và các nghị định hướng dẫn thi hành, nhất là Nghị định số 59/2019/NĐ-CP và Nghị định số 130/2020/NĐ-CP của Chính phủ.</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b/>
          <w:i/>
          <w:sz w:val="28"/>
          <w:szCs w:val="28"/>
        </w:rPr>
      </w:pPr>
      <w:r>
        <w:rPr>
          <w:rFonts w:ascii="Times New Roman" w:eastAsia="Times New Roman" w:hAnsi="Times New Roman" w:cs="Times New Roman"/>
          <w:sz w:val="28"/>
          <w:szCs w:val="28"/>
          <w:lang w:val="vi-VN"/>
        </w:rPr>
        <w:t xml:space="preserve">UBND tỉnh chủ động chỉ đạo các sở, ngành, địa phương xây dựng kế hoạch triển khai sát </w:t>
      </w:r>
      <w:r>
        <w:rPr>
          <w:rFonts w:ascii="Times New Roman" w:eastAsia="Times New Roman" w:hAnsi="Times New Roman" w:cs="Times New Roman"/>
          <w:sz w:val="28"/>
          <w:szCs w:val="28"/>
        </w:rPr>
        <w:t xml:space="preserve">với </w:t>
      </w:r>
      <w:r>
        <w:rPr>
          <w:rFonts w:ascii="Times New Roman" w:eastAsia="Times New Roman" w:hAnsi="Times New Roman" w:cs="Times New Roman"/>
          <w:sz w:val="28"/>
          <w:szCs w:val="28"/>
          <w:lang w:val="vi-VN"/>
        </w:rPr>
        <w:t xml:space="preserve">thực tế, lồng ghép nội dung </w:t>
      </w:r>
      <w:r>
        <w:rPr>
          <w:rFonts w:ascii="Times New Roman" w:eastAsia="Times New Roman" w:hAnsi="Times New Roman" w:cs="Times New Roman"/>
          <w:sz w:val="28"/>
          <w:szCs w:val="28"/>
        </w:rPr>
        <w:t>PCTN</w:t>
      </w:r>
      <w:r>
        <w:rPr>
          <w:rFonts w:ascii="Times New Roman" w:eastAsia="Times New Roman" w:hAnsi="Times New Roman" w:cs="Times New Roman"/>
          <w:sz w:val="28"/>
          <w:szCs w:val="28"/>
          <w:lang w:val="vi-VN"/>
        </w:rPr>
        <w:t>, tiêu cực vào chương trình công tác h</w:t>
      </w:r>
      <w:r>
        <w:rPr>
          <w:rFonts w:ascii="Times New Roman" w:eastAsia="Times New Roman" w:hAnsi="Times New Roman" w:cs="Times New Roman"/>
          <w:sz w:val="28"/>
          <w:szCs w:val="28"/>
        </w:rPr>
        <w:t>ằ</w:t>
      </w:r>
      <w:r>
        <w:rPr>
          <w:rFonts w:ascii="Times New Roman" w:eastAsia="Times New Roman" w:hAnsi="Times New Roman" w:cs="Times New Roman"/>
          <w:sz w:val="28"/>
          <w:szCs w:val="28"/>
          <w:lang w:val="vi-VN"/>
        </w:rPr>
        <w:t xml:space="preserve">ng năm; đồng thời tăng cường công tác kiểm tra, giám sát, đôn đốc thực hiện, kịp thời chấn chỉnh những tồn tại, hạn chế trong quá trình triển khai nhằm nâng cao hiệu lực, hiệu quả công tác PCTN, tiêu cực trên địa bàn tỉnh. Công tác lãnh đạo, chỉ đạo được triển khai nghiêm túc, quyết liệt, có trọng tâm, trọng điểm; phát huy rõ vai trò của người đứng đầu, đồng thời tăng cường sự phối hợp giữa các cơ quan chức năng và chính quyền các cấp. Qua đó, đã tạo chuyển biến rõ nét trong nhận thức và hành động của đội ngũ cán bộ, công chức, viên chức, góp phần quan trọng vào việc nâng cao hiệu lực, hiệu quả công tác quản lý nhà nước và phòng ngừa tham nhũng ngay từ cơ sở; công tác PCTN, tiêu cực trên địa bàn tỉnh đã có những chuyển biến tích cực cả về nhận thức và hành động trong hệ thống chính trị; góp phần củng cố niềm tin của </w:t>
      </w:r>
      <w:r>
        <w:rPr>
          <w:rFonts w:ascii="Times New Roman" w:eastAsia="Times New Roman" w:hAnsi="Times New Roman" w:cs="Times New Roman"/>
          <w:sz w:val="28"/>
          <w:szCs w:val="28"/>
        </w:rPr>
        <w:t>N</w:t>
      </w:r>
      <w:r>
        <w:rPr>
          <w:rFonts w:ascii="Times New Roman" w:eastAsia="Times New Roman" w:hAnsi="Times New Roman" w:cs="Times New Roman"/>
          <w:sz w:val="28"/>
          <w:szCs w:val="28"/>
          <w:lang w:val="vi-VN"/>
        </w:rPr>
        <w:t>hân dân, giữ vững ổn định chính trị, tăng cường kỷ luật, kỷ cương hành chính và nâng cao hiệu quả quản lý, điều hành của bộ máy chính quyền các cấp.</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b/>
          <w:i/>
          <w:sz w:val="28"/>
          <w:szCs w:val="28"/>
        </w:rPr>
      </w:pPr>
      <w:r>
        <w:rPr>
          <w:rFonts w:ascii="Times New Roman" w:eastAsia="Times New Roman" w:hAnsi="Times New Roman" w:cs="Times New Roman"/>
          <w:sz w:val="28"/>
          <w:szCs w:val="28"/>
          <w:lang w:val="vi-VN" w:eastAsia="vi-VN"/>
        </w:rPr>
        <w:t xml:space="preserve">Thanh tra tỉnh tiếp tục phát huy vai trò nòng cốt trong công tác tham mưu, giúp UBND tỉnh thực hiện hiệu quả chức năng quản lý nhà nước về PCTN; công tác xây dựng và triển khai kế hoạch PCTN được thực hiện nghiêm túc, bám sát chỉ đạo của Trung ương, Tỉnh ủy, UBND tỉnh, phù hợp với tình hình thực tiễn địa phương. Ngoài ra, Thanh tra tỉnh đã chủ động hướng dẫn, đôn đốc các sở, ngành, địa phương thực hiện đầy đủ các quy định về công khai, minh bạch trong hoạt động quản lý; kiểm soát tài sản, thu nhập; thực hiện các biện pháp phòng ngừa tham nhũng. Đồng thời, tăng cường thanh tra, kiểm tra việc thực thi công vụ, kịp thời phát hiện, xử lý các sai phạm, kiến nghị hoàn thiện cơ chế, chính sách. </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b/>
          <w:i/>
          <w:sz w:val="28"/>
          <w:szCs w:val="28"/>
        </w:rPr>
      </w:pPr>
      <w:r>
        <w:rPr>
          <w:rFonts w:ascii="Times New Roman" w:hAnsi="Times New Roman" w:cs="Times New Roman"/>
          <w:b/>
          <w:bCs/>
          <w:i/>
          <w:iCs/>
          <w:sz w:val="28"/>
          <w:szCs w:val="28"/>
          <w:lang w:val="nl-NL"/>
        </w:rPr>
        <w:t>1.2. Các hình thức cụ thể đã thực hiện để quán triệt, tuyên truyền, phổ biến chủ trương, chính sách, pháp luật về PCTN, tiêu cực</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b/>
          <w:i/>
          <w:sz w:val="28"/>
          <w:szCs w:val="28"/>
        </w:rPr>
      </w:pPr>
      <w:r>
        <w:rPr>
          <w:rFonts w:ascii="Times New Roman" w:hAnsi="Times New Roman" w:cs="Times New Roman"/>
          <w:sz w:val="28"/>
          <w:szCs w:val="28"/>
          <w:lang w:val="vi-VN"/>
        </w:rPr>
        <w:t xml:space="preserve">Thời gian qua, công tác tuyên truyền, phổ biến, giáo dục pháp luật về </w:t>
      </w:r>
      <w:r>
        <w:rPr>
          <w:rFonts w:ascii="Times New Roman" w:hAnsi="Times New Roman" w:cs="Times New Roman"/>
          <w:sz w:val="28"/>
          <w:szCs w:val="28"/>
        </w:rPr>
        <w:t>PCTN</w:t>
      </w:r>
      <w:r>
        <w:rPr>
          <w:rFonts w:ascii="Times New Roman" w:hAnsi="Times New Roman" w:cs="Times New Roman"/>
          <w:sz w:val="28"/>
          <w:szCs w:val="28"/>
          <w:lang w:val="vi-VN"/>
        </w:rPr>
        <w:t xml:space="preserve"> tiếp tục được cấp ủy, chính quyền, các ngành, địa phương quan tâm chỉ đạo sâu sát, triển khai đồng bộ, thường xuyên, xác định đây là nhiệm vụ chính trị quan trọng trong công tác xây dựng Đảng, xây dựng chính quyền liêm chính, kiến tạo phát triển. Nội dung tuyên truyền được bám sát các văn bản chỉ đạo của Trung ương và của </w:t>
      </w:r>
      <w:r>
        <w:rPr>
          <w:rFonts w:ascii="Times New Roman" w:hAnsi="Times New Roman" w:cs="Times New Roman"/>
          <w:sz w:val="28"/>
          <w:szCs w:val="28"/>
        </w:rPr>
        <w:t>T</w:t>
      </w:r>
      <w:r>
        <w:rPr>
          <w:rFonts w:ascii="Times New Roman" w:hAnsi="Times New Roman" w:cs="Times New Roman"/>
          <w:sz w:val="28"/>
          <w:szCs w:val="28"/>
          <w:lang w:val="vi-VN"/>
        </w:rPr>
        <w:t>ỉnh, bảo đảm thiết thực, phù hợp với từng đối tượng; hình thức tuyên truyền ngày càng đa dạng, linh hoạt, kết hợp giữa trực tiếp và gián tiếp thông qua ứng dụng công nghệ thông tin, mạng xã hội (Zalo, Facebook), hệ thống truyền thanh cơ sở, các chuyên trang, chuyên mục trên báo chí, truyền hình…</w:t>
      </w:r>
      <w:r>
        <w:rPr>
          <w:rFonts w:ascii="Times New Roman" w:hAnsi="Times New Roman" w:cs="Times New Roman"/>
          <w:sz w:val="28"/>
          <w:szCs w:val="28"/>
        </w:rPr>
        <w:t>, q</w:t>
      </w:r>
      <w:r>
        <w:rPr>
          <w:rFonts w:ascii="Times New Roman" w:hAnsi="Times New Roman" w:cs="Times New Roman"/>
          <w:sz w:val="28"/>
          <w:szCs w:val="28"/>
          <w:lang w:val="vi-VN"/>
        </w:rPr>
        <w:t>ua đó</w:t>
      </w:r>
      <w:r>
        <w:rPr>
          <w:rFonts w:ascii="Times New Roman" w:hAnsi="Times New Roman" w:cs="Times New Roman"/>
          <w:sz w:val="28"/>
          <w:szCs w:val="28"/>
        </w:rPr>
        <w:t xml:space="preserve"> đã</w:t>
      </w:r>
      <w:r>
        <w:rPr>
          <w:rFonts w:ascii="Times New Roman" w:hAnsi="Times New Roman" w:cs="Times New Roman"/>
          <w:sz w:val="28"/>
          <w:szCs w:val="28"/>
          <w:lang w:val="vi-VN"/>
        </w:rPr>
        <w:t xml:space="preserve"> kịp thời định hướng dư luận, góp phần nâng cao nhận thức, ý thức trách nhiệm trong </w:t>
      </w:r>
      <w:r>
        <w:rPr>
          <w:rFonts w:ascii="Times New Roman" w:hAnsi="Times New Roman" w:cs="Times New Roman"/>
          <w:sz w:val="28"/>
          <w:szCs w:val="28"/>
        </w:rPr>
        <w:t>PCTN</w:t>
      </w:r>
      <w:r>
        <w:rPr>
          <w:rFonts w:ascii="Times New Roman" w:hAnsi="Times New Roman" w:cs="Times New Roman"/>
          <w:sz w:val="28"/>
          <w:szCs w:val="28"/>
          <w:lang w:val="vi-VN"/>
        </w:rPr>
        <w:t>, tiêu cực của cán bộ, đảng viên và Nhân dân. Các ngành, địa phương đã quan tâm kiện toàn đội ngũ báo cáo viên, tuyên truyền viên, hòa giải viên cơ sở; chủ động xây dựng kế hoạch tuyên truyền hằng năm, lồng ghép nội dung PCTN, tiêu cực trong các hội nghị báo cáo thời sự, sinh hoạt chi bộ, hội nghị công dân…</w:t>
      </w:r>
      <w:r>
        <w:rPr>
          <w:rFonts w:ascii="Times New Roman" w:hAnsi="Times New Roman" w:cs="Times New Roman"/>
          <w:sz w:val="28"/>
          <w:szCs w:val="28"/>
        </w:rPr>
        <w:t>;</w:t>
      </w:r>
      <w:r>
        <w:rPr>
          <w:rFonts w:ascii="Times New Roman" w:hAnsi="Times New Roman" w:cs="Times New Roman"/>
          <w:sz w:val="28"/>
          <w:szCs w:val="28"/>
          <w:lang w:val="vi-VN"/>
        </w:rPr>
        <w:t xml:space="preserve"> </w:t>
      </w:r>
      <w:r>
        <w:rPr>
          <w:rFonts w:ascii="Times New Roman" w:hAnsi="Times New Roman" w:cs="Times New Roman"/>
          <w:sz w:val="28"/>
          <w:szCs w:val="28"/>
        </w:rPr>
        <w:t>v</w:t>
      </w:r>
      <w:r>
        <w:rPr>
          <w:rFonts w:ascii="Times New Roman" w:hAnsi="Times New Roman" w:cs="Times New Roman"/>
          <w:sz w:val="28"/>
          <w:szCs w:val="28"/>
          <w:lang w:val="vi-VN"/>
        </w:rPr>
        <w:t xml:space="preserve">iệc đưa nội dung PCTN vào giảng dạy tại các cơ sở giáo dục được duy trì và nâng cao chất lượng, </w:t>
      </w:r>
      <w:r>
        <w:rPr>
          <w:rFonts w:ascii="Times New Roman" w:hAnsi="Times New Roman" w:cs="Times New Roman"/>
          <w:sz w:val="28"/>
          <w:szCs w:val="28"/>
        </w:rPr>
        <w:t>góp phần</w:t>
      </w:r>
      <w:r>
        <w:rPr>
          <w:rFonts w:ascii="Times New Roman" w:hAnsi="Times New Roman" w:cs="Times New Roman"/>
          <w:sz w:val="28"/>
          <w:szCs w:val="28"/>
          <w:lang w:val="vi-VN"/>
        </w:rPr>
        <w:t xml:space="preserve"> hình thành ý thức pháp luật, đạo đức công vụ cho thế hệ trẻ.</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b/>
          <w:bCs/>
          <w:i/>
          <w:iCs/>
          <w:sz w:val="28"/>
          <w:szCs w:val="28"/>
          <w:lang w:val="nl-NL"/>
        </w:rPr>
      </w:pPr>
      <w:r>
        <w:rPr>
          <w:rFonts w:ascii="Times New Roman" w:eastAsia="Times New Roman" w:hAnsi="Times New Roman" w:cs="Times New Roman"/>
          <w:sz w:val="28"/>
          <w:szCs w:val="28"/>
          <w:lang w:val="it-IT"/>
        </w:rPr>
        <w:t>Trong kỳ báo cáo, toàn tỉnh đã tổ chức 27 lớp tuyên truyền, với 1.534 lượt người tham gia; thực hiện nhiều chuyên trang, chuyên mục phổ biến pháp luật trên Báo Hà Tĩnh và các trang truyền hình địa phương; nội dung tuyên truyền, phổ biến pháp luật liên quan đến công tác PCTN, tiêu cực, trong đó chú trọng quán triệt phổ biến các quy định về kiểm soát tài sản thu nhập theo Nghị định số 130/2020/NĐ-CP của Chính</w:t>
      </w:r>
      <w:r>
        <w:rPr>
          <w:rFonts w:ascii="Times New Roman" w:hAnsi="Times New Roman" w:cs="Times New Roman"/>
          <w:sz w:val="28"/>
          <w:szCs w:val="28"/>
          <w:lang w:val="nl-NL"/>
        </w:rPr>
        <w:t xml:space="preserve"> phủ.</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b/>
          <w:bCs/>
          <w:i/>
          <w:iCs/>
          <w:sz w:val="28"/>
          <w:szCs w:val="28"/>
          <w:lang w:val="nl-NL"/>
        </w:rPr>
      </w:pPr>
      <w:r>
        <w:rPr>
          <w:rFonts w:ascii="Times New Roman" w:eastAsia="Calibri" w:hAnsi="Times New Roman" w:cs="Times New Roman"/>
          <w:b/>
          <w:i/>
          <w:sz w:val="28"/>
          <w:szCs w:val="28"/>
        </w:rPr>
        <w:t>1.3. Việc tổng kết, đánh giá, rà soát và lập danh mục những quy định pháp luật còn thiếu, sơ hở, dễ bị lợi dụng để tham nhũng</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b/>
          <w:bCs/>
          <w:i/>
          <w:iCs/>
          <w:sz w:val="28"/>
          <w:szCs w:val="28"/>
          <w:lang w:val="nl-NL"/>
        </w:rPr>
      </w:pPr>
      <w:r>
        <w:rPr>
          <w:rFonts w:ascii="Times New Roman" w:hAnsi="Times New Roman" w:cs="Times New Roman"/>
          <w:sz w:val="28"/>
          <w:szCs w:val="28"/>
          <w:lang w:val="it-IT"/>
        </w:rPr>
        <w:t>UBND tỉnh luôn quan tâm đến công tác xây dựng và ban hành văn bản quy phạm pháp luật thuộc thẩm quyền; tích cực tham gia góp ý đối với các dự thảo văn bản quy phạm pháp luật của Trung ương. Đồng thời, thường xuyên chỉ đạo các cơ quan, đơn vị, địa phương tổ chức tự rà soát, đánh giá các văn bản quy phạm pháp luật hiện hành nhằm phát hiện những quy định không còn phù hợp để kịp thời sửa đổi, bổ sung, thay thế hoặc kiến nghị cơ quan có thẩm quyền xem xét điều chỉnh, qua đó bảo đảm tính thống nhất, phù hợp với thực tiễn và nâng cao hiệu quả thi hành pháp luật, hạn chế sơ hở, bất cập dễ bị lợi dụng để tham nhũng</w:t>
      </w:r>
      <w:r>
        <w:rPr>
          <w:rFonts w:ascii="Times New Roman" w:hAnsi="Times New Roman" w:cs="Times New Roman"/>
          <w:spacing w:val="-2"/>
          <w:sz w:val="28"/>
          <w:szCs w:val="28"/>
          <w:lang w:val="nl-NL"/>
        </w:rPr>
        <w:t>.</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b/>
          <w:bCs/>
          <w:i/>
          <w:iCs/>
          <w:sz w:val="28"/>
          <w:szCs w:val="28"/>
          <w:lang w:val="nl-NL"/>
        </w:rPr>
      </w:pPr>
      <w:r>
        <w:rPr>
          <w:rFonts w:ascii="Times New Roman" w:hAnsi="Times New Roman" w:cs="Times New Roman"/>
          <w:sz w:val="28"/>
          <w:szCs w:val="28"/>
          <w:lang w:val="nl-NL"/>
        </w:rPr>
        <w:t>Trong kỳ, UBND tỉnh đã ban hành Quy định mức độ khôi phục lại tình trạng ban đầu của đất và các trường hợp không có tính khả thi để khôi phục lại tình trạng ban đầu của đất trước khi vi phạm đối với hành vi hủy hoại đất trên địa bàn tỉnh Hà Tĩnh (Quyết định số 17/2025/QĐ-UBND ngày 04/3/2025); rà soát, bãi bỏ các văn bản quy phạm pháp luật không còn phù hợp</w:t>
      </w:r>
      <w:r>
        <w:rPr>
          <w:rFonts w:ascii="Times New Roman" w:hAnsi="Times New Roman" w:cs="Times New Roman"/>
          <w:sz w:val="28"/>
          <w:szCs w:val="28"/>
          <w:vertAlign w:val="superscript"/>
          <w:lang w:val="nl-NL"/>
        </w:rPr>
        <w:t>(</w:t>
      </w:r>
      <w:r>
        <w:rPr>
          <w:rFonts w:ascii="Times New Roman" w:hAnsi="Times New Roman" w:cs="Times New Roman"/>
          <w:vertAlign w:val="superscript"/>
        </w:rPr>
        <w:footnoteReference w:id="4"/>
      </w:r>
      <w:r>
        <w:rPr>
          <w:rFonts w:ascii="Times New Roman" w:hAnsi="Times New Roman" w:cs="Times New Roman"/>
          <w:sz w:val="28"/>
          <w:szCs w:val="28"/>
          <w:vertAlign w:val="superscript"/>
          <w:lang w:val="nl-NL"/>
        </w:rPr>
        <w:t>)</w:t>
      </w:r>
      <w:r>
        <w:rPr>
          <w:rFonts w:ascii="Times New Roman" w:hAnsi="Times New Roman" w:cs="Times New Roman"/>
          <w:sz w:val="28"/>
          <w:szCs w:val="28"/>
          <w:lang w:val="nl-NL"/>
        </w:rPr>
        <w:t xml:space="preserve">. </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b/>
          <w:bCs/>
          <w:i/>
          <w:iCs/>
          <w:sz w:val="28"/>
          <w:szCs w:val="28"/>
          <w:lang w:val="nl-NL"/>
        </w:rPr>
      </w:pPr>
      <w:r>
        <w:rPr>
          <w:rFonts w:ascii="Times New Roman" w:eastAsia="Times New Roman" w:hAnsi="Times New Roman" w:cs="Times New Roman"/>
          <w:b/>
          <w:sz w:val="28"/>
          <w:szCs w:val="28"/>
        </w:rPr>
        <w:t>2. Kết quả thực hiện các biện pháp phòng ngừa tham nhũng trong cơ quan, tổ chức, đơn vị</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hAnsi="Times New Roman" w:cs="Times New Roman"/>
          <w:b/>
          <w:i/>
          <w:sz w:val="28"/>
          <w:szCs w:val="28"/>
          <w:lang w:val="nl-NL"/>
        </w:rPr>
        <w:t xml:space="preserve">2.1. Kết quả thanh tra trách nhiệm thực hiện pháp luật về PCTN, tiêu cực </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Trong kỳ báo cáo, tổng số cuộc thanh tra trách nhiệm thực hiện pháp luật về PCTN, tiêu cực: 12 cuộc; số đơn vị được thanh tra: 19 đơn vị; số cuộc thanh tra trách nhiệm thực hiện pháp luật về PCTN, tiêu cực đã ban hành kết luận: 12 cuộc. Nội dung các cuộc thanh tra </w:t>
      </w:r>
      <w:r>
        <w:rPr>
          <w:rFonts w:ascii="Times New Roman" w:hAnsi="Times New Roman" w:cs="Times New Roman"/>
          <w:sz w:val="28"/>
          <w:szCs w:val="28"/>
          <w:lang w:val="sv-SE"/>
        </w:rPr>
        <w:t>tập trung đánh giá việc xây dựng và thực hiện các biện pháp phòng ngừa tham nhũng, việc công khai, minh bạch trong hoạt động, kê khai và kiểm soát tài sản, thu nhập, chuyển đổi vị trí công tác và trách nhiệm của người đứng đầu trong PCTN. Qua thanh tra, Thanh tra tỉnh đã kịp thời phát hiện, chấn chỉnh những tồn tại, hạn chế; kiến nghị biện pháp khắc phục và nâng cao hiệu quả công tác PCTN, góp phần củng cố kỷ luật, kỷ cương hành chính tại các cơ quan, đơn vị.</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b/>
          <w:i/>
          <w:sz w:val="28"/>
          <w:szCs w:val="28"/>
        </w:rPr>
        <w:t>2.2. Kết quả thực hiện công khai, minh bạch về tổ chức và hoạt động</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Calibri" w:hAnsi="Times New Roman" w:cs="Times New Roman"/>
          <w:spacing w:val="-2"/>
          <w:sz w:val="28"/>
          <w:szCs w:val="28"/>
          <w:lang w:val="vi-VN"/>
        </w:rPr>
        <w:t>Thực hiện quy định của Luật P</w:t>
      </w:r>
      <w:r>
        <w:rPr>
          <w:rFonts w:ascii="Times New Roman" w:eastAsia="Calibri" w:hAnsi="Times New Roman" w:cs="Times New Roman"/>
          <w:spacing w:val="-2"/>
          <w:sz w:val="28"/>
          <w:szCs w:val="28"/>
        </w:rPr>
        <w:t>CTN</w:t>
      </w:r>
      <w:r>
        <w:rPr>
          <w:rFonts w:ascii="Times New Roman" w:eastAsia="Calibri" w:hAnsi="Times New Roman" w:cs="Times New Roman"/>
          <w:spacing w:val="-2"/>
          <w:sz w:val="28"/>
          <w:szCs w:val="28"/>
          <w:lang w:val="vi-VN"/>
        </w:rPr>
        <w:t xml:space="preserve"> năm 2018 và các văn bản hướng dẫn thi hành, Tỉnh ủy và </w:t>
      </w:r>
      <w:r>
        <w:rPr>
          <w:rFonts w:ascii="Times New Roman" w:eastAsia="Calibri" w:hAnsi="Times New Roman" w:cs="Times New Roman"/>
          <w:spacing w:val="-2"/>
          <w:sz w:val="28"/>
          <w:szCs w:val="28"/>
        </w:rPr>
        <w:t>UBND</w:t>
      </w:r>
      <w:r>
        <w:rPr>
          <w:rFonts w:ascii="Times New Roman" w:eastAsia="Calibri" w:hAnsi="Times New Roman" w:cs="Times New Roman"/>
          <w:spacing w:val="-2"/>
          <w:sz w:val="28"/>
          <w:szCs w:val="28"/>
          <w:lang w:val="vi-VN"/>
        </w:rPr>
        <w:t xml:space="preserve"> tỉnh đã ban hành hệ thống văn bản chỉ đạo nhằm cụ thể hóa yêu cầu về công khai, minh bạch trong tổ chức và hoạt động của các cơ quan, đơn vị thuộc phạm vi quản lý. Việc công khai, minh bạch được xem là một trong những nội dung trọng tâm trong công tác </w:t>
      </w:r>
      <w:r>
        <w:rPr>
          <w:rFonts w:ascii="Times New Roman" w:eastAsia="Calibri" w:hAnsi="Times New Roman" w:cs="Times New Roman"/>
          <w:spacing w:val="-2"/>
          <w:sz w:val="28"/>
          <w:szCs w:val="28"/>
        </w:rPr>
        <w:t>PCTN</w:t>
      </w:r>
      <w:r>
        <w:rPr>
          <w:rFonts w:ascii="Times New Roman" w:eastAsia="Calibri" w:hAnsi="Times New Roman" w:cs="Times New Roman"/>
          <w:spacing w:val="-2"/>
          <w:sz w:val="28"/>
          <w:szCs w:val="28"/>
          <w:lang w:val="vi-VN"/>
        </w:rPr>
        <w:t>, góp phần nâng cao hiệu lực, hiệu quả quản lý nhà nước, bảo đảm quyền tiếp cận thông tin của tổ chức, cá nhân và tạo môi trường hành chính công khai, minh bạch, có trách nhiệm giải trình.</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Calibri" w:hAnsi="Times New Roman" w:cs="Times New Roman"/>
          <w:sz w:val="28"/>
          <w:szCs w:val="28"/>
          <w:lang w:val="vi-VN"/>
        </w:rPr>
        <w:t>Trên cơ sở đó, các cơ quan, đơn vị, địa phương đã chủ động triển khai các biện pháp công khai, minh bạch phù hợp với chức năng, nhiệm vụ và phạm vi quản lý của từng đơn vị. Việc công khai được thực hiện đúng trình tự, thủ tục, nội dung và thẩm quyền theo quy định, thông qua nhiều hình thức như: niêm yết công khai tại trụ sở, công bố trên cổng/trang thông tin điện tử, tổ chức hội nghị lấy ý kiến hoặc gửi văn bản lấy ý kiến góp ý của tổ chức, cá nhân có liên quan.</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Calibri" w:hAnsi="Times New Roman" w:cs="Times New Roman"/>
          <w:sz w:val="28"/>
          <w:szCs w:val="28"/>
          <w:lang w:val="vi-VN"/>
        </w:rPr>
        <w:t>Nội dung công khai tập trung vào các lĩnh vực dễ phát sinh tiêu cực, có ảnh hưởng trực tiếp đến quyền và lợi ích hợp pháp của tổ chức, cá nhân, đặc biệt là doanh nghiệp và người dân. Cụ thể gồm: công khai thủ tục hành chính; danh mục và thông tin về các chương trình, dự án đầu tư; chính sách ưu đãi, hỗ trợ phát triển; thông tin về dự toán, phân bổ và quyết toán ngân sách; quản lý, sử dụng tài sản công; định mức, tiêu chuẩn, chế độ chi tiêu; công tác quy hoạch, kế hoạch sử dụng đất; phân cấp quản lý dự án đầu tư xây dựng cơ bản; công bố các kết luận thanh tra, kiểm tra có liên quan đến tổ chức, cá nhân.</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Calibri" w:hAnsi="Times New Roman" w:cs="Times New Roman"/>
          <w:spacing w:val="2"/>
          <w:sz w:val="28"/>
          <w:szCs w:val="28"/>
          <w:lang w:val="vi-VN"/>
        </w:rPr>
        <w:t>Việc thực hiện nghiêm túc các quy định về công khai, minh bạch đã góp phần nâng cao tính minh bạch trong hoạt động quản lý nhà nước, tăng cường sự tham gia giám sát của người dân, doanh nghiệp và các tổ chức xã hội đối với hoạt động của cơ quan hành chính nhà nước, từ đó góp phần phòng ngừa tham nhũng, lãng phí, tiêu cực ngay từ khâu ban hành và tổ chức thực hiện chính sách, pháp luật.</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b/>
          <w:i/>
          <w:sz w:val="28"/>
          <w:szCs w:val="28"/>
        </w:rPr>
        <w:t>2.3. Kết quả xây dựng và thực hiện định mức, tiêu chuẩn, chế độ</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4"/>
          <w:sz w:val="28"/>
          <w:szCs w:val="28"/>
          <w:lang w:val="nl-NL"/>
        </w:rPr>
      </w:pPr>
      <w:r>
        <w:rPr>
          <w:rFonts w:ascii="Times New Roman" w:eastAsia="Calibri" w:hAnsi="Times New Roman" w:cs="Times New Roman"/>
          <w:spacing w:val="-4"/>
          <w:sz w:val="28"/>
          <w:szCs w:val="28"/>
        </w:rPr>
        <w:t>Trong kỳ báo cáo, HĐND tỉnh, UBND tỉnh ban hành nhiều nghị quyết, văn bản quy định về chế độ, định mức, tiêu chuẩn</w:t>
      </w:r>
      <w:r>
        <w:rPr>
          <w:rFonts w:ascii="Times New Roman" w:eastAsia="Calibri" w:hAnsi="Times New Roman" w:cs="Times New Roman"/>
          <w:spacing w:val="-4"/>
          <w:sz w:val="28"/>
          <w:szCs w:val="28"/>
          <w:vertAlign w:val="superscript"/>
        </w:rPr>
        <w:t xml:space="preserve"> </w:t>
      </w:r>
      <w:r>
        <w:rPr>
          <w:rFonts w:ascii="Times New Roman" w:eastAsia="Calibri" w:hAnsi="Times New Roman" w:cs="Times New Roman"/>
          <w:spacing w:val="-4"/>
          <w:sz w:val="28"/>
          <w:szCs w:val="28"/>
          <w:lang w:val="it-IT"/>
        </w:rPr>
        <w:t>...vv;</w:t>
      </w:r>
      <w:r>
        <w:rPr>
          <w:rFonts w:ascii="Times New Roman" w:eastAsia="Calibri" w:hAnsi="Times New Roman" w:cs="Times New Roman"/>
          <w:spacing w:val="-4"/>
          <w:sz w:val="28"/>
          <w:szCs w:val="28"/>
        </w:rPr>
        <w:t xml:space="preserve"> các cơ quan, đơn vị đã thực hiện nghiêm túc việc rà soát, sửa đổi, bổ sung, ban hành mới và công khai các chế độ, định mức, tiêu chuẩn trong phạm vi chức năng quản lý nhà nước được giao; quản lý chặt chẽ hoạt động chi ngân sách nhà nước, cắt giảm tối đa các khoản chi không cần thiết; đồng thời, quán triệt chủ trương thực hành tiết kiệm, chống lãng phí của Đảng và Nhà nước đối với cán bộ, công chức, viên chức và người lao động.</w:t>
      </w:r>
      <w:r>
        <w:rPr>
          <w:rFonts w:ascii="Times New Roman" w:eastAsia="Times New Roman" w:hAnsi="Times New Roman" w:cs="Times New Roman"/>
          <w:spacing w:val="-4"/>
          <w:sz w:val="28"/>
          <w:szCs w:val="28"/>
        </w:rPr>
        <w:t xml:space="preserve">  </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b/>
          <w:bCs/>
          <w:i/>
          <w:iCs/>
          <w:sz w:val="28"/>
          <w:szCs w:val="28"/>
          <w:lang w:val="es-ES_tradnl"/>
        </w:rPr>
        <w:t xml:space="preserve">2.4. </w:t>
      </w:r>
      <w:r>
        <w:rPr>
          <w:rFonts w:ascii="Times New Roman" w:eastAsia="Times New Roman" w:hAnsi="Times New Roman" w:cs="Times New Roman"/>
          <w:b/>
          <w:bCs/>
          <w:i/>
          <w:iCs/>
          <w:sz w:val="28"/>
          <w:szCs w:val="28"/>
          <w:lang w:val="vi-VN"/>
        </w:rPr>
        <w:t>Cải cách hành chính (CCHC), ứng dụng khoa học công nghệ</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Calibri" w:hAnsi="Times New Roman" w:cs="Times New Roman"/>
          <w:sz w:val="28"/>
          <w:szCs w:val="28"/>
          <w:lang w:val="es-ES_tradnl"/>
        </w:rPr>
        <w:t>Tỉnh ủy, UBND tỉnh đã quan tâm lãnh đạo, chỉ đạo, ban hành các văn bản</w:t>
      </w:r>
      <w:r>
        <w:rPr>
          <w:rFonts w:ascii="Times New Roman" w:eastAsia="Calibri" w:hAnsi="Times New Roman" w:cs="Times New Roman"/>
          <w:sz w:val="28"/>
          <w:szCs w:val="28"/>
          <w:vertAlign w:val="superscript"/>
          <w:lang w:val="es-ES_tradnl"/>
        </w:rPr>
        <w:t xml:space="preserve"> </w:t>
      </w:r>
      <w:r>
        <w:rPr>
          <w:rFonts w:ascii="Times New Roman" w:eastAsia="Calibri" w:hAnsi="Times New Roman" w:cs="Times New Roman"/>
          <w:sz w:val="28"/>
          <w:szCs w:val="28"/>
          <w:lang w:val="es-ES_tradnl"/>
        </w:rPr>
        <w:t>và quán triệt, tổ chức thực hiện nghiêm túc</w:t>
      </w:r>
      <w:r>
        <w:rPr>
          <w:rFonts w:ascii="Times New Roman" w:eastAsia="Calibri" w:hAnsi="Times New Roman" w:cs="Times New Roman"/>
          <w:sz w:val="28"/>
          <w:szCs w:val="28"/>
          <w:lang w:val="vi-VN"/>
        </w:rPr>
        <w:t xml:space="preserve"> </w:t>
      </w:r>
      <w:r>
        <w:rPr>
          <w:rFonts w:ascii="Times New Roman" w:eastAsia="Calibri" w:hAnsi="Times New Roman" w:cs="Times New Roman"/>
          <w:sz w:val="28"/>
          <w:szCs w:val="28"/>
          <w:lang w:val="es-ES_tradnl"/>
        </w:rPr>
        <w:t>công tác CCHC; cấp ủy, chính quyền các cấp triển khai, thực hiện đồng bộ và có hiệu quả nhiều giải pháp nhằm đẩy mạnh CCHC gắn với cải thiện môi trường đầu tư, kinh doanh. Việc thực hiện các thủ tục hành chính tại Trung tâm Phục vụ hành chính công tỉnh và Trung tâm hành chính công 13/13 đơn vị cấp huyện đã tăng cường tính công khai, minh bạch, tránh tình trạng nhũng nhiễu, đồng thời tạo điều kiện thuận lợi cho người dân, doanh nghiệp trong việc thực hiện các thủ tục hành chính; nâng cao chất lượng và rút ngắn thời gian giải quyết thủ tục hành chính.</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Calibri" w:hAnsi="Times New Roman" w:cs="Times New Roman"/>
          <w:spacing w:val="-2"/>
          <w:sz w:val="28"/>
          <w:szCs w:val="28"/>
          <w:lang w:val="es-ES_tradnl"/>
        </w:rPr>
        <w:t>UBND tỉnh đã thành lập Ban Chỉ đạo chuyển đổi số theo Quyết định số 856/QĐ-UBND ngày 22/4/2025 về việc thành lập Ban Chỉ đạo về phát triển khoa học, công nghệ, đổi mới sáng tạo, chuyển đổi số và Đề án 06 tỉnh Hà Tĩnh (sau đây gọi tắt là Ban Chỉ đạo) trên cơ sở hợp nhất Ban Chỉ đạo CCHC, Ban Chỉ đạo chuyển đổi số và Tổ công tác triển khai Đề án 06 của tỉnh. Hiện nay, công tác chỉ đạo, điều hành qua phần mềm điện tử được đẩy mạnh, chú trọng hoạt động ứng dụng công nghệ đến tận cấp xã. Toàn tỉnh đã triển khai thực hiện hệ thống gửi, nhận văn bản, hệ thống thư điện tử, phần mềm theo dõi chỉ đạo, hệ thống văn phòng điện tử thông minh, dịch vụ công trực tuyến…, từng bước hiện đại hóa nền hành chính công vụ theo hướng Chính phủ điện tử, chính quyền điện tử.</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z w:val="28"/>
          <w:szCs w:val="28"/>
          <w:lang w:val="nl-NL"/>
        </w:rPr>
      </w:pPr>
      <w:r>
        <w:rPr>
          <w:rFonts w:ascii="Times New Roman" w:eastAsia="Times New Roman" w:hAnsi="Times New Roman" w:cs="Times New Roman"/>
          <w:b/>
          <w:i/>
          <w:sz w:val="28"/>
          <w:szCs w:val="28"/>
        </w:rPr>
        <w:t>2.5. Kết quả thực hiện các quy định về kiểm soát tài sản, thu nhập của người có chức vụ, quyền hạn</w:t>
      </w:r>
    </w:p>
    <w:p>
      <w:pPr>
        <w:pBdr>
          <w:top w:val="dotted" w:sz="4" w:space="0" w:color="FFFFFF"/>
          <w:left w:val="dotted" w:sz="4" w:space="0" w:color="FFFFFF"/>
          <w:bottom w:val="dotted" w:sz="4" w:space="21" w:color="FFFFFF"/>
          <w:right w:val="dotted" w:sz="4" w:space="29" w:color="FFFFFF"/>
        </w:pBdr>
        <w:shd w:val="clear" w:color="auto" w:fill="FFFFFF"/>
        <w:spacing w:before="90" w:after="0" w:line="240" w:lineRule="auto"/>
        <w:ind w:firstLine="680"/>
        <w:jc w:val="both"/>
        <w:rPr>
          <w:rFonts w:ascii="Times New Roman" w:hAnsi="Times New Roman" w:cs="Times New Roman"/>
          <w:sz w:val="28"/>
          <w:szCs w:val="28"/>
          <w:lang w:val="nl-NL"/>
        </w:rPr>
      </w:pPr>
      <w:r>
        <w:rPr>
          <w:rFonts w:ascii="Times New Roman" w:eastAsia="Arial" w:hAnsi="Times New Roman" w:cs="Times New Roman"/>
          <w:sz w:val="28"/>
          <w:szCs w:val="28"/>
        </w:rPr>
        <w:t xml:space="preserve">Thực hiện Luật PCTN, Nghị định </w:t>
      </w:r>
      <w:r>
        <w:rPr>
          <w:rFonts w:ascii="Times New Roman" w:eastAsia="Calibri" w:hAnsi="Times New Roman" w:cs="Times New Roman"/>
          <w:sz w:val="28"/>
          <w:szCs w:val="28"/>
        </w:rPr>
        <w:t xml:space="preserve">số 130/2020/NĐ-CP </w:t>
      </w:r>
      <w:r>
        <w:rPr>
          <w:rFonts w:ascii="Times New Roman" w:eastAsia="Calibri" w:hAnsi="Times New Roman" w:cs="Times New Roman"/>
          <w:bCs/>
          <w:sz w:val="28"/>
          <w:szCs w:val="28"/>
        </w:rPr>
        <w:t>ngày 30/10/2020 của Chính phủ</w:t>
      </w:r>
      <w:r>
        <w:rPr>
          <w:rFonts w:ascii="Times New Roman" w:eastAsia="Calibri" w:hAnsi="Times New Roman" w:cs="Times New Roman"/>
          <w:sz w:val="28"/>
          <w:szCs w:val="28"/>
          <w:lang w:val="sv-SE"/>
        </w:rPr>
        <w:t xml:space="preserve"> về kiểm soát tài sản, thu nhập của người có chức vụ, quyền hạn trong các cơ quan, tổ chức, đơn vị; UBND tỉnh đã giao </w:t>
      </w:r>
      <w:r>
        <w:rPr>
          <w:rFonts w:ascii="Times New Roman" w:hAnsi="Times New Roman" w:cs="Times New Roman"/>
          <w:sz w:val="28"/>
          <w:szCs w:val="28"/>
          <w:lang w:val="sv-SE"/>
        </w:rPr>
        <w:t>Thanh tra tỉnh phối hợp Ủy ban Kiểm tra Tỉnh ủy hướng dẫn các địa phương, đơn vị tổ chức kê khai tài sản thu nhập hằng năm và kê khai tài sản thu nhập bổ sung; hướng dẫn các đơn vị trên địa bàn thực hiện quy chế phối hợp giữa các cơ quan kiểm soát tài sản, thu nhập theo Văn bản số 1568-CV/TU ngày 16/02/2023 của Tỉnh ủy Hà Tĩnh. Các địa phương, đơn vị trong tỉnh đã thực hiện việc kê khai, công khai Bản kê khai tài sản, thu nhập năm 2024 theo đúng quy định.</w:t>
      </w:r>
    </w:p>
    <w:p>
      <w:pPr>
        <w:pBdr>
          <w:top w:val="dotted" w:sz="4" w:space="0" w:color="FFFFFF"/>
          <w:left w:val="dotted" w:sz="4" w:space="0" w:color="FFFFFF"/>
          <w:bottom w:val="dotted" w:sz="4" w:space="21" w:color="FFFFFF"/>
          <w:right w:val="dotted" w:sz="4" w:space="29" w:color="FFFFFF"/>
        </w:pBdr>
        <w:shd w:val="clear" w:color="auto" w:fill="FFFFFF"/>
        <w:spacing w:before="90" w:after="0" w:line="240" w:lineRule="auto"/>
        <w:ind w:firstLine="680"/>
        <w:jc w:val="both"/>
        <w:rPr>
          <w:rFonts w:ascii="Times New Roman" w:hAnsi="Times New Roman" w:cs="Times New Roman"/>
          <w:spacing w:val="-2"/>
          <w:sz w:val="28"/>
          <w:szCs w:val="28"/>
          <w:lang w:val="nl-NL"/>
        </w:rPr>
      </w:pPr>
      <w:r>
        <w:rPr>
          <w:rFonts w:ascii="Times New Roman" w:hAnsi="Times New Roman" w:cs="Times New Roman"/>
          <w:sz w:val="28"/>
          <w:szCs w:val="28"/>
          <w:lang w:val="da-DK"/>
        </w:rPr>
        <w:t>Trong kỳ, Thanh tra tỉnh đã ban hành Quyết định số 14/QĐ-TT ngày 24/01/2025 về việc ban hành Kế hoạch xác minh tài sản, thu nhập năm 2025 tại các đơn vị gồm: Sở Tài chính, Sở Nội vụ, Thanh tra tỉnh, Ban Quản lý dự án đầu tư xây dựng khu vực Khu kinh tế tỉnh; Trường Cao đẳng Kỹ thuật Việt - Đức Hà Tĩnh, Trường Cao đẳng Y tế Hà Tĩnh; đã tiến hành bốc thăm lựa chọn ngẫu nhiên 11 cá nhân để xác minh tài sản, thu nhập tại 06 đơn vị nêu trên. Trên cơ sở kết quả bốc thăm, Thanh tra tỉnh đã ban hành Quyết định số 71/QĐ-TT ngày 19/5/2025 về việc xác minh tài sản, thu nhập đối với</w:t>
      </w:r>
      <w:r>
        <w:rPr>
          <w:rFonts w:ascii="Times New Roman" w:hAnsi="Times New Roman" w:cs="Times New Roman"/>
          <w:spacing w:val="-2"/>
          <w:sz w:val="28"/>
          <w:szCs w:val="28"/>
          <w:lang w:val="da-DK"/>
        </w:rPr>
        <w:t xml:space="preserve"> các trường hợp được lựa chọn, đảm bảo đúng quy định, khách quan và minh bạch trong quá trình thực hiện.</w:t>
      </w:r>
    </w:p>
    <w:p>
      <w:pPr>
        <w:pBdr>
          <w:top w:val="dotted" w:sz="4" w:space="0" w:color="FFFFFF"/>
          <w:left w:val="dotted" w:sz="4" w:space="0" w:color="FFFFFF"/>
          <w:bottom w:val="dotted" w:sz="4" w:space="21" w:color="FFFFFF"/>
          <w:right w:val="dotted" w:sz="4" w:space="29" w:color="FFFFFF"/>
        </w:pBdr>
        <w:shd w:val="clear" w:color="auto" w:fill="FFFFFF"/>
        <w:spacing w:before="9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b/>
          <w:i/>
          <w:sz w:val="28"/>
          <w:szCs w:val="28"/>
        </w:rPr>
        <w:t>2.6. Kết quả xem xét phản ánh, báo cáo về hành vi tham nhũng; việc phát hiện, xử lý tham nhũng qua xem xét phản ánh, báo cáo về hành vi tham nhũng và qua công tác giải quyết KNTC</w:t>
      </w:r>
    </w:p>
    <w:p>
      <w:pPr>
        <w:pBdr>
          <w:top w:val="dotted" w:sz="4" w:space="0" w:color="FFFFFF"/>
          <w:left w:val="dotted" w:sz="4" w:space="0" w:color="FFFFFF"/>
          <w:bottom w:val="dotted" w:sz="4" w:space="21" w:color="FFFFFF"/>
          <w:right w:val="dotted" w:sz="4" w:space="29" w:color="FFFFFF"/>
        </w:pBdr>
        <w:shd w:val="clear" w:color="auto" w:fill="FFFFFF"/>
        <w:spacing w:before="90" w:after="0" w:line="240" w:lineRule="auto"/>
        <w:ind w:firstLine="680"/>
        <w:jc w:val="both"/>
        <w:rPr>
          <w:rFonts w:ascii="Times New Roman" w:hAnsi="Times New Roman" w:cs="Times New Roman"/>
          <w:spacing w:val="-2"/>
          <w:sz w:val="28"/>
          <w:szCs w:val="28"/>
          <w:lang w:val="nl-NL"/>
        </w:rPr>
      </w:pPr>
      <w:r>
        <w:rPr>
          <w:rFonts w:ascii="Times New Roman" w:eastAsia="Calibri" w:hAnsi="Times New Roman" w:cs="Times New Roman"/>
          <w:bCs/>
          <w:iCs/>
          <w:sz w:val="28"/>
          <w:szCs w:val="28"/>
        </w:rPr>
        <w:t>Trong kỳ báo cáo không phát sinh nội dung này.</w:t>
      </w:r>
    </w:p>
    <w:p>
      <w:pPr>
        <w:pBdr>
          <w:top w:val="dotted" w:sz="4" w:space="0" w:color="FFFFFF"/>
          <w:left w:val="dotted" w:sz="4" w:space="0" w:color="FFFFFF"/>
          <w:bottom w:val="dotted" w:sz="4" w:space="21" w:color="FFFFFF"/>
          <w:right w:val="dotted" w:sz="4" w:space="29" w:color="FFFFFF"/>
        </w:pBdr>
        <w:shd w:val="clear" w:color="auto" w:fill="FFFFFF"/>
        <w:spacing w:before="9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b/>
          <w:i/>
          <w:sz w:val="28"/>
          <w:szCs w:val="28"/>
        </w:rPr>
        <w:t>2.7. Kết quả điều tra, truy tố, xét xử các vụ án tham nhũng</w:t>
      </w:r>
    </w:p>
    <w:p>
      <w:pPr>
        <w:pBdr>
          <w:top w:val="dotted" w:sz="4" w:space="0" w:color="FFFFFF"/>
          <w:left w:val="dotted" w:sz="4" w:space="0" w:color="FFFFFF"/>
          <w:bottom w:val="dotted" w:sz="4" w:space="21" w:color="FFFFFF"/>
          <w:right w:val="dotted" w:sz="4" w:space="29" w:color="FFFFFF"/>
        </w:pBdr>
        <w:shd w:val="clear" w:color="auto" w:fill="FFFFFF"/>
        <w:spacing w:before="90" w:after="0" w:line="240" w:lineRule="auto"/>
        <w:ind w:firstLine="680"/>
        <w:jc w:val="both"/>
        <w:rPr>
          <w:rFonts w:ascii="Times New Roman" w:hAnsi="Times New Roman" w:cs="Times New Roman"/>
          <w:spacing w:val="-2"/>
          <w:sz w:val="28"/>
          <w:szCs w:val="28"/>
          <w:lang w:val="nl-NL"/>
        </w:rPr>
      </w:pPr>
      <w:r>
        <w:rPr>
          <w:rFonts w:ascii="Times New Roman" w:eastAsia="Calibri" w:hAnsi="Times New Roman" w:cs="Times New Roman"/>
          <w:sz w:val="28"/>
          <w:szCs w:val="28"/>
          <w:lang w:val="nl-NL"/>
        </w:rPr>
        <w:t xml:space="preserve">Trong kỳ báo cáo, </w:t>
      </w:r>
      <w:r>
        <w:rPr>
          <w:rFonts w:ascii="Times New Roman" w:hAnsi="Times New Roman" w:cs="Times New Roman"/>
          <w:sz w:val="28"/>
          <w:szCs w:val="28"/>
          <w:lang w:val="sv-SE"/>
        </w:rPr>
        <w:t xml:space="preserve">tổng số vụ án, bị can đang thụ lý, điều tra: 04 vụ/04 bị can, trong đó: </w:t>
      </w:r>
    </w:p>
    <w:p>
      <w:pPr>
        <w:pBdr>
          <w:top w:val="dotted" w:sz="4" w:space="0" w:color="FFFFFF"/>
          <w:left w:val="dotted" w:sz="4" w:space="0" w:color="FFFFFF"/>
          <w:bottom w:val="dotted" w:sz="4" w:space="21" w:color="FFFFFF"/>
          <w:right w:val="dotted" w:sz="4" w:space="29" w:color="FFFFFF"/>
        </w:pBdr>
        <w:shd w:val="clear" w:color="auto" w:fill="FFFFFF"/>
        <w:spacing w:before="90" w:after="0" w:line="240" w:lineRule="auto"/>
        <w:ind w:firstLine="680"/>
        <w:jc w:val="both"/>
        <w:rPr>
          <w:rFonts w:ascii="Times New Roman" w:hAnsi="Times New Roman" w:cs="Times New Roman"/>
          <w:spacing w:val="-2"/>
          <w:sz w:val="28"/>
          <w:szCs w:val="28"/>
          <w:lang w:val="nl-NL"/>
        </w:rPr>
      </w:pPr>
      <w:r>
        <w:rPr>
          <w:rFonts w:ascii="Times New Roman" w:eastAsia="Calibri" w:hAnsi="Times New Roman" w:cs="Times New Roman"/>
          <w:sz w:val="28"/>
          <w:szCs w:val="28"/>
          <w:lang w:val="nl-NL"/>
        </w:rPr>
        <w:t xml:space="preserve">- Kỳ trước chuyển sang: 0 vụ. </w:t>
      </w:r>
    </w:p>
    <w:p>
      <w:pPr>
        <w:pBdr>
          <w:top w:val="dotted" w:sz="4" w:space="0" w:color="FFFFFF"/>
          <w:left w:val="dotted" w:sz="4" w:space="0" w:color="FFFFFF"/>
          <w:bottom w:val="dotted" w:sz="4" w:space="21" w:color="FFFFFF"/>
          <w:right w:val="dotted" w:sz="4" w:space="29" w:color="FFFFFF"/>
        </w:pBdr>
        <w:shd w:val="clear" w:color="auto" w:fill="FFFFFF"/>
        <w:spacing w:before="90" w:after="0" w:line="240" w:lineRule="auto"/>
        <w:ind w:firstLine="680"/>
        <w:jc w:val="both"/>
        <w:rPr>
          <w:rFonts w:ascii="Times New Roman" w:hAnsi="Times New Roman" w:cs="Times New Roman"/>
          <w:spacing w:val="-2"/>
          <w:sz w:val="28"/>
          <w:szCs w:val="28"/>
          <w:lang w:val="nl-NL"/>
        </w:rPr>
      </w:pPr>
      <w:r>
        <w:rPr>
          <w:rFonts w:ascii="Times New Roman" w:eastAsia="Calibri" w:hAnsi="Times New Roman" w:cs="Times New Roman"/>
          <w:sz w:val="28"/>
          <w:szCs w:val="28"/>
        </w:rPr>
        <w:t>- Phát hiện, điều tra trong kỳ: khởi tố 04 vụ/04 bị can</w:t>
      </w:r>
      <w:r>
        <w:rPr>
          <w:rFonts w:ascii="Times New Roman" w:eastAsia="Calibri" w:hAnsi="Times New Roman" w:cs="Times New Roman"/>
          <w:sz w:val="28"/>
          <w:szCs w:val="28"/>
          <w:vertAlign w:val="superscript"/>
        </w:rPr>
        <w:t>(</w:t>
      </w:r>
      <w:r>
        <w:rPr>
          <w:rStyle w:val="FootnoteReference"/>
          <w:rFonts w:ascii="Times New Roman" w:eastAsia="Calibri" w:hAnsi="Times New Roman" w:cs="Times New Roman"/>
          <w:sz w:val="28"/>
          <w:szCs w:val="28"/>
        </w:rPr>
        <w:footnoteReference w:id="5"/>
      </w:r>
      <w:r>
        <w:rPr>
          <w:rFonts w:ascii="Times New Roman" w:eastAsia="Calibri" w:hAnsi="Times New Roman" w:cs="Times New Roman"/>
          <w:sz w:val="28"/>
          <w:szCs w:val="28"/>
          <w:vertAlign w:val="superscript"/>
        </w:rPr>
        <w:t>)</w:t>
      </w:r>
      <w:r>
        <w:rPr>
          <w:rFonts w:ascii="Times New Roman" w:eastAsia="Calibri" w:hAnsi="Times New Roman" w:cs="Times New Roman"/>
          <w:sz w:val="28"/>
          <w:szCs w:val="28"/>
        </w:rPr>
        <w:t>.</w:t>
      </w:r>
    </w:p>
    <w:p>
      <w:pPr>
        <w:pBdr>
          <w:top w:val="dotted" w:sz="4" w:space="0" w:color="FFFFFF"/>
          <w:left w:val="dotted" w:sz="4" w:space="0" w:color="FFFFFF"/>
          <w:bottom w:val="dotted" w:sz="4" w:space="21" w:color="FFFFFF"/>
          <w:right w:val="dotted" w:sz="4" w:space="29" w:color="FFFFFF"/>
        </w:pBdr>
        <w:shd w:val="clear" w:color="auto" w:fill="FFFFFF"/>
        <w:spacing w:before="90" w:after="0" w:line="240" w:lineRule="auto"/>
        <w:ind w:firstLine="680"/>
        <w:jc w:val="both"/>
        <w:rPr>
          <w:rFonts w:ascii="Times New Roman" w:hAnsi="Times New Roman" w:cs="Times New Roman"/>
          <w:spacing w:val="-2"/>
          <w:sz w:val="28"/>
          <w:szCs w:val="28"/>
          <w:lang w:val="nl-NL"/>
        </w:rPr>
      </w:pPr>
      <w:r>
        <w:rPr>
          <w:rFonts w:ascii="Times New Roman" w:eastAsia="Arial Unicode MS" w:hAnsi="Times New Roman" w:cs="Times New Roman"/>
          <w:b/>
          <w:i/>
          <w:sz w:val="28"/>
          <w:szCs w:val="28"/>
          <w:lang w:eastAsia="vi-VN"/>
        </w:rPr>
        <w:t>2.8.</w:t>
      </w:r>
      <w:r>
        <w:rPr>
          <w:rFonts w:ascii="Times New Roman" w:eastAsia="Arial Unicode MS" w:hAnsi="Times New Roman" w:cs="Times New Roman"/>
          <w:b/>
          <w:i/>
          <w:sz w:val="28"/>
          <w:szCs w:val="28"/>
          <w:lang w:val="vi-VN" w:eastAsia="vi-VN"/>
        </w:rPr>
        <w:t xml:space="preserve"> Kết quả xử lý tài sản tham nhũng</w:t>
      </w:r>
    </w:p>
    <w:p>
      <w:pPr>
        <w:pBdr>
          <w:top w:val="dotted" w:sz="4" w:space="0" w:color="FFFFFF"/>
          <w:left w:val="dotted" w:sz="4" w:space="0" w:color="FFFFFF"/>
          <w:bottom w:val="dotted" w:sz="4" w:space="21" w:color="FFFFFF"/>
          <w:right w:val="dotted" w:sz="4" w:space="29" w:color="FFFFFF"/>
        </w:pBdr>
        <w:shd w:val="clear" w:color="auto" w:fill="FFFFFF"/>
        <w:spacing w:before="90" w:after="0" w:line="240" w:lineRule="auto"/>
        <w:ind w:firstLine="680"/>
        <w:jc w:val="both"/>
        <w:rPr>
          <w:rFonts w:ascii="Times New Roman" w:hAnsi="Times New Roman" w:cs="Times New Roman"/>
          <w:spacing w:val="-2"/>
          <w:sz w:val="28"/>
          <w:szCs w:val="28"/>
          <w:lang w:val="nl-NL"/>
        </w:rPr>
      </w:pPr>
      <w:r>
        <w:rPr>
          <w:rFonts w:ascii="Times New Roman" w:hAnsi="Times New Roman" w:cs="Times New Roman"/>
          <w:sz w:val="28"/>
          <w:szCs w:val="28"/>
          <w:lang w:val="sv-SE"/>
        </w:rPr>
        <w:t>Tổng tài sản thu hồi, thu giữ từ các vụ án là 585.218.07 đồng.</w:t>
      </w:r>
    </w:p>
    <w:p>
      <w:pPr>
        <w:pBdr>
          <w:top w:val="dotted" w:sz="4" w:space="0" w:color="FFFFFF"/>
          <w:left w:val="dotted" w:sz="4" w:space="0" w:color="FFFFFF"/>
          <w:bottom w:val="dotted" w:sz="4" w:space="21" w:color="FFFFFF"/>
          <w:right w:val="dotted" w:sz="4" w:space="29" w:color="FFFFFF"/>
        </w:pBdr>
        <w:shd w:val="clear" w:color="auto" w:fill="FFFFFF"/>
        <w:spacing w:before="90" w:after="0" w:line="240" w:lineRule="auto"/>
        <w:ind w:firstLine="680"/>
        <w:jc w:val="both"/>
        <w:rPr>
          <w:rFonts w:ascii="Times New Roman" w:hAnsi="Times New Roman" w:cs="Times New Roman"/>
          <w:spacing w:val="-4"/>
          <w:sz w:val="28"/>
          <w:szCs w:val="28"/>
          <w:lang w:val="nl-NL"/>
        </w:rPr>
      </w:pPr>
      <w:r>
        <w:rPr>
          <w:rFonts w:ascii="Times New Roman" w:eastAsia="Times New Roman" w:hAnsi="Times New Roman" w:cs="Times New Roman"/>
          <w:b/>
          <w:i/>
          <w:spacing w:val="-4"/>
          <w:sz w:val="28"/>
          <w:szCs w:val="28"/>
        </w:rPr>
        <w:t>2.9. Kết quả xử lý trách nhiệm của người đứng đầu để xảy ra tham nhũng</w:t>
      </w:r>
    </w:p>
    <w:p>
      <w:pPr>
        <w:pBdr>
          <w:top w:val="dotted" w:sz="4" w:space="0" w:color="FFFFFF"/>
          <w:left w:val="dotted" w:sz="4" w:space="0" w:color="FFFFFF"/>
          <w:bottom w:val="dotted" w:sz="4" w:space="21" w:color="FFFFFF"/>
          <w:right w:val="dotted" w:sz="4" w:space="29" w:color="FFFFFF"/>
        </w:pBdr>
        <w:shd w:val="clear" w:color="auto" w:fill="FFFFFF"/>
        <w:spacing w:before="90" w:after="0" w:line="240" w:lineRule="auto"/>
        <w:ind w:firstLine="680"/>
        <w:jc w:val="both"/>
        <w:rPr>
          <w:rFonts w:ascii="Times New Roman" w:hAnsi="Times New Roman" w:cs="Times New Roman"/>
          <w:spacing w:val="-2"/>
          <w:sz w:val="28"/>
          <w:szCs w:val="28"/>
          <w:lang w:val="nl-NL"/>
        </w:rPr>
      </w:pPr>
      <w:r>
        <w:rPr>
          <w:rFonts w:ascii="Times New Roman" w:eastAsia="Calibri" w:hAnsi="Times New Roman" w:cs="Times New Roman"/>
          <w:bCs/>
          <w:sz w:val="28"/>
          <w:szCs w:val="28"/>
        </w:rPr>
        <w:t>Trong kỳ báo cáo không phát sinh xử lý trách nhiệm của người đứng đầu.</w:t>
      </w:r>
    </w:p>
    <w:p>
      <w:pPr>
        <w:pBdr>
          <w:top w:val="dotted" w:sz="4" w:space="0" w:color="FFFFFF"/>
          <w:left w:val="dotted" w:sz="4" w:space="0" w:color="FFFFFF"/>
          <w:bottom w:val="dotted" w:sz="4" w:space="21" w:color="FFFFFF"/>
          <w:right w:val="dotted" w:sz="4" w:space="29" w:color="FFFFFF"/>
        </w:pBdr>
        <w:shd w:val="clear" w:color="auto" w:fill="FFFFFF"/>
        <w:spacing w:before="9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b/>
          <w:i/>
          <w:sz w:val="28"/>
          <w:szCs w:val="28"/>
          <w:lang w:val="de-DE"/>
        </w:rPr>
        <w:t xml:space="preserve">2.10. </w:t>
      </w:r>
      <w:r>
        <w:rPr>
          <w:rFonts w:ascii="Times New Roman" w:hAnsi="Times New Roman" w:cs="Times New Roman"/>
          <w:b/>
          <w:i/>
          <w:sz w:val="28"/>
          <w:szCs w:val="28"/>
        </w:rPr>
        <w:t>Kết quả công tác thanh tra, kiểm toán và việc phát hiện, xử lý các vụ việc tham nhũng qua hoạt động thanh tra, kiểm toán</w:t>
      </w:r>
    </w:p>
    <w:p>
      <w:pPr>
        <w:pBdr>
          <w:top w:val="dotted" w:sz="4" w:space="0" w:color="FFFFFF"/>
          <w:left w:val="dotted" w:sz="4" w:space="0" w:color="FFFFFF"/>
          <w:bottom w:val="dotted" w:sz="4" w:space="21" w:color="FFFFFF"/>
          <w:right w:val="dotted" w:sz="4" w:space="29" w:color="FFFFFF"/>
        </w:pBdr>
        <w:shd w:val="clear" w:color="auto" w:fill="FFFFFF"/>
        <w:spacing w:before="90" w:after="0" w:line="240" w:lineRule="auto"/>
        <w:ind w:firstLine="680"/>
        <w:jc w:val="both"/>
        <w:rPr>
          <w:rFonts w:ascii="Times New Roman" w:hAnsi="Times New Roman" w:cs="Times New Roman"/>
          <w:spacing w:val="-2"/>
          <w:sz w:val="28"/>
          <w:szCs w:val="28"/>
          <w:lang w:val="nl-NL"/>
        </w:rPr>
      </w:pPr>
      <w:r>
        <w:rPr>
          <w:rFonts w:ascii="Times New Roman" w:hAnsi="Times New Roman" w:cs="Times New Roman"/>
          <w:sz w:val="28"/>
          <w:szCs w:val="28"/>
        </w:rPr>
        <w:t>Trong kỳ báo cáo, chưa phát hiện xử lý các vụ việc tham nhũng qua hoạt động thanh tra.</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b/>
          <w:sz w:val="26"/>
          <w:szCs w:val="26"/>
          <w:lang w:val="vi-VN"/>
        </w:rPr>
        <w:t>IV. ĐÁNH GIÁ TÌNH HÌNH CHUNG</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b/>
          <w:sz w:val="28"/>
          <w:szCs w:val="28"/>
          <w:lang w:val="vi-VN"/>
        </w:rPr>
        <w:t>1. Đánh giá tình hình</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b/>
          <w:i/>
          <w:sz w:val="28"/>
          <w:szCs w:val="28"/>
          <w:lang w:val="vi-VN"/>
        </w:rPr>
      </w:pPr>
      <w:r>
        <w:rPr>
          <w:rFonts w:ascii="Times New Roman" w:eastAsia="Times New Roman" w:hAnsi="Times New Roman" w:cs="Times New Roman"/>
          <w:b/>
          <w:i/>
          <w:sz w:val="28"/>
          <w:szCs w:val="28"/>
          <w:lang w:val="de-DE"/>
        </w:rPr>
        <w:t>1.1.</w:t>
      </w:r>
      <w:r>
        <w:rPr>
          <w:rFonts w:ascii="Times New Roman" w:eastAsia="Times New Roman" w:hAnsi="Times New Roman" w:cs="Times New Roman"/>
          <w:b/>
          <w:i/>
          <w:sz w:val="28"/>
          <w:szCs w:val="28"/>
          <w:lang w:val="vi-VN"/>
        </w:rPr>
        <w:t xml:space="preserve"> Kết quả, ưu điểm</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sz w:val="28"/>
          <w:szCs w:val="28"/>
          <w:lang w:val="de-DE"/>
        </w:rPr>
        <w:t xml:space="preserve">- </w:t>
      </w:r>
      <w:r>
        <w:rPr>
          <w:rFonts w:ascii="Times New Roman" w:eastAsia="Times New Roman" w:hAnsi="Times New Roman" w:cs="Times New Roman"/>
          <w:bCs/>
          <w:sz w:val="28"/>
          <w:szCs w:val="28"/>
          <w:lang w:val="de-DE"/>
        </w:rPr>
        <w:t xml:space="preserve">Tỉnh ủy, HĐND, UBND tỉnh thường xuyên quan tâm lãnh đạo, chỉ đạo các cấp, </w:t>
      </w:r>
      <w:r>
        <w:rPr>
          <w:rFonts w:ascii="Times New Roman" w:eastAsia="Times New Roman" w:hAnsi="Times New Roman" w:cs="Times New Roman"/>
          <w:bCs/>
          <w:spacing w:val="-2"/>
          <w:sz w:val="28"/>
          <w:szCs w:val="28"/>
          <w:lang w:val="de-DE"/>
        </w:rPr>
        <w:t>các ngành tăng cường công tác tiếp công dân, giải quyết KNTC, PCTN; chỉ đạo thực hiện nề nếp công tác tiếp công dân, tiếp nhận xử lý đơn thư, nâng cao chất lượng công tác giải quyết KNTC; đặc biệt là thực hiện nghiêm túc Quy định số 11-QĐ/TW của Bộ Chính trị; Nghị quyết số 623/NQ-UBTVQH15 ngày 07/10/2022 của Ủy ban Thường vụ Quốc hội về tiếp tục tăng cường hiệu lực, hiệu quả thực hiện chính sách, pháp luật về tiếp công dân và giải quyết KNTC. Công tác PCTN được tăng cường; tại một số lĩnh vực, tham nhũng từng bước được kiềm chế, đặc biệt là</w:t>
      </w:r>
      <w:r>
        <w:rPr>
          <w:rFonts w:ascii="Times New Roman" w:eastAsia="Times New Roman" w:hAnsi="Times New Roman" w:cs="Times New Roman"/>
          <w:bCs/>
          <w:sz w:val="28"/>
          <w:szCs w:val="28"/>
          <w:lang w:val="de-DE"/>
        </w:rPr>
        <w:t xml:space="preserve"> tình trạng gây khó khăn, phiền hà cho người dân, doanh nghiệp trong thực hiện công việc đã được khắc phục.</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Văn phòng UBND tỉnh (Ban Tiếp công dân tỉnh) cùng với Ban Nội chính Tỉnh ủy phối hợp, chuẩn bị tốt các nội dung, điều kiện đảm bảo phục vụ đồng chí Bí thư Tỉnh ủy, đồng chí Chủ tịch HĐND tỉnh và đồng chí Chủ tịch UBND tỉnh trong tiếp công dân định kỳ; chất lượng, hiệu quả công tác tiếp công dân của lãnh đạo tỉnh được nâng lên rõ rệt. Việc theo dõi, đôn đốc và tổng hợp báo cáo kết quả thực hiện ý kiến kết luận, chỉ đạo của Bí thư Tỉnh ủy và Chủ tịch UBND tỉnh sau các phiên tiếp công dân được quan tâm nên các nội dung KNTC, KNPA của công dân cơ bản được xử lý, giải quyết.</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xml:space="preserve">- Cơ quan Thanh tra nhà nước, cán bộ làm công tác tiếp công dân, giải quyết KNTC của các ngành làm tốt vai trò phối hợp với các đơn vị, địa phương trong thực hiện nhiệm vụ tiếp công dân, giải quyết KNTC; một số đơn vị, địa phương đã </w:t>
      </w:r>
      <w:r>
        <w:rPr>
          <w:rFonts w:ascii="Times New Roman" w:eastAsia="Times New Roman" w:hAnsi="Times New Roman" w:cs="Times New Roman"/>
          <w:sz w:val="28"/>
          <w:szCs w:val="28"/>
          <w:u w:color="FF0000"/>
          <w:lang w:val="de-DE"/>
        </w:rPr>
        <w:t>chủ động</w:t>
      </w:r>
      <w:r>
        <w:rPr>
          <w:rFonts w:ascii="Times New Roman" w:eastAsia="Times New Roman" w:hAnsi="Times New Roman" w:cs="Times New Roman"/>
          <w:sz w:val="28"/>
          <w:szCs w:val="28"/>
          <w:lang w:val="de-DE"/>
        </w:rPr>
        <w:t xml:space="preserve"> xin ý kiến tư vấn, hướng dẫn để xử lý vướng mắc, khó khăn trong giải quyết các vụ việc KNTC thuộc thẩm quyền, vì vậy đã góp phần giải quyết tốt các KNTC phát sinh ở cấp cơ sở. </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bCs/>
          <w:sz w:val="28"/>
          <w:szCs w:val="28"/>
          <w:lang w:val="de-DE"/>
        </w:rPr>
        <w:t xml:space="preserve">- </w:t>
      </w:r>
      <w:r>
        <w:rPr>
          <w:rFonts w:ascii="Times New Roman" w:eastAsia="Times New Roman" w:hAnsi="Times New Roman" w:cs="Times New Roman"/>
          <w:spacing w:val="-2"/>
          <w:sz w:val="28"/>
          <w:szCs w:val="28"/>
          <w:lang w:val="de-DE"/>
        </w:rPr>
        <w:t xml:space="preserve">Các cấp, các ngành đã quan tâm bố trí cán bộ đảm bảo năng lực, trách nhiệm để tiếp, trả lời, hướng dẫn xử lý, giải quyết kịp thời các kiến nghị, đề xuất của công dân; </w:t>
      </w:r>
      <w:r>
        <w:rPr>
          <w:rFonts w:ascii="Times New Roman" w:eastAsia="Times New Roman" w:hAnsi="Times New Roman" w:cs="Times New Roman"/>
          <w:spacing w:val="-2"/>
          <w:sz w:val="28"/>
          <w:szCs w:val="28"/>
        </w:rPr>
        <w:t>kỹ năng phân loại và xử lý đơn thư của cán bộ, công chức làm công tác tiếp dân, xử lý đơn thư ngày càng được nâng lên, đơn thư của công dân được tập trung về một đầu mối, được chuyển đến đúng các cơ quan có thẩm quyền giải quyết nên đã hạn chế và giảm được hiện tượng tụ tập đông người và đơn thư vượt cấp kéo dài</w:t>
      </w:r>
      <w:r>
        <w:rPr>
          <w:rFonts w:ascii="Times New Roman" w:eastAsia="Times New Roman" w:hAnsi="Times New Roman" w:cs="Times New Roman"/>
          <w:spacing w:val="-2"/>
          <w:sz w:val="28"/>
          <w:szCs w:val="28"/>
          <w:lang w:val="de-DE"/>
        </w:rPr>
        <w:t>. Các đơn vị, địa phương thực hiện hiệu quả chủ trương hướng về cơ sở trong giải quyết KNTC; tích cực chỉ đạo tiếp nhận, giải quyết các vụ việc ngay từ khi mới phát sinh, đã góp phần hạn chế đơn thư khiếu kiện vượt cấp.</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Calibri" w:hAnsi="Times New Roman" w:cs="Times New Roman"/>
          <w:sz w:val="28"/>
          <w:szCs w:val="28"/>
        </w:rPr>
        <w:t xml:space="preserve">- Cấp ủy, chính quyền các cấp đã thường xuyên quán triệt, tập trung tuyên truyền, phổ biến, giáo dục pháp luật về PCTN và các Nghị quyết, Chỉ thị của Ban Chấp hành Trung ương Đảng, Bộ Chính trị, Chính phủ, Thủ tướng Chính phủ về công tác PCTN cho cán bộ, đảng viên, công chức, viên chức, người lao động và Nhân dân trên địa bàn; </w:t>
      </w:r>
      <w:r>
        <w:rPr>
          <w:rFonts w:ascii="Times New Roman" w:eastAsia="Times New Roman" w:hAnsi="Times New Roman" w:cs="Times New Roman"/>
          <w:sz w:val="28"/>
          <w:szCs w:val="28"/>
        </w:rPr>
        <w:t>góp phần nâng cao nhận thức cho cán bộ, công chức, viên chức và người dân về công tác đấu tranh PCTN, tiêu cực.</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Calibri" w:hAnsi="Times New Roman" w:cs="Times New Roman"/>
          <w:spacing w:val="-2"/>
          <w:sz w:val="28"/>
          <w:szCs w:val="28"/>
        </w:rPr>
        <w:t>- UBND tỉnh tiếp tục chỉ đạo thực hiện đồng bộ các biện pháp nâng cao hiệu lực, hiệu quả quản lý nhà nước trên các lĩnh vực; đẩy mạnh CCHC, hoàn thiện thể chế; chỉ đạo thực hiện chế độ công khai, minh bạch về tài chính, ngân sách trong các cơ quan hành chính, đơn vị cung ứng dịch vụ công, doanh nghiệp nhà nước, các dự án đầu tư, xây dựng cơ bản, mua sắm từ ngân sách nhà nước, quản lý, sử dụng đất đai, tài sản công; nâng cao chất lượng công tác thanh tra, kiểm tra, giám sát, tăng cường thanh tra đột xuất, tập trung thanh tra, kiểm tra, giám sát các lĩnh vực có nhiều dư luận tiêu cực, tham nhũng nhằm kịp thời phát hiện và xử lý nghiêm các sai phạm, từ đó</w:t>
      </w:r>
      <w:r>
        <w:rPr>
          <w:rFonts w:ascii="Times New Roman" w:eastAsia="Calibri" w:hAnsi="Times New Roman" w:cs="Times New Roman"/>
          <w:spacing w:val="-2"/>
          <w:sz w:val="28"/>
          <w:szCs w:val="28"/>
          <w:lang w:val="vi-VN"/>
        </w:rPr>
        <w:t xml:space="preserve"> từng bước kiềm chế</w:t>
      </w:r>
      <w:r>
        <w:rPr>
          <w:rFonts w:ascii="Times New Roman" w:eastAsia="Calibri" w:hAnsi="Times New Roman" w:cs="Times New Roman"/>
          <w:spacing w:val="-2"/>
          <w:sz w:val="28"/>
          <w:szCs w:val="28"/>
        </w:rPr>
        <w:t>, đẩy lùi tham nhũng.</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Calibri" w:hAnsi="Times New Roman" w:cs="Times New Roman"/>
          <w:sz w:val="28"/>
          <w:szCs w:val="28"/>
          <w:lang w:val="nl-NL"/>
        </w:rPr>
        <w:t>- Các cơ quan, đơn vị đã thực hiện tốt hơn công tác PCTN trong phạm vi chức năng, nhiệm vụ của mình. Hiệu lực, hiệu quả công tác PCTN kỳ này so với cùng kỳ năm trước đã có những chuyển biến tích cực trong nhận thức và hành động; nhiều vụ việc, vụ án đã được điều tra, truy tố và xét xử kịp thời, nghiêm minh. Các cơ quan, đơn vị đã quan tâm chỉ đạo công tác PCTN, đặc biệt là công tác kê khai, kiểm soát tài sản, thu nhập của người có chức vụ.</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b/>
          <w:i/>
          <w:sz w:val="28"/>
          <w:szCs w:val="28"/>
          <w:lang w:val="vi-VN"/>
        </w:rPr>
        <w:t>1.2. Hạn chế</w:t>
      </w:r>
      <w:r>
        <w:rPr>
          <w:rFonts w:ascii="Times New Roman" w:eastAsia="Times New Roman" w:hAnsi="Times New Roman" w:cs="Times New Roman"/>
          <w:b/>
          <w:i/>
          <w:sz w:val="28"/>
          <w:szCs w:val="28"/>
        </w:rPr>
        <w:t>,</w:t>
      </w:r>
      <w:r>
        <w:rPr>
          <w:rFonts w:ascii="Times New Roman" w:eastAsia="Times New Roman" w:hAnsi="Times New Roman" w:cs="Times New Roman"/>
          <w:b/>
          <w:i/>
          <w:sz w:val="28"/>
          <w:szCs w:val="28"/>
          <w:lang w:val="vi-VN"/>
        </w:rPr>
        <w:t xml:space="preserve"> khuyết điểm</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spacing w:val="-2"/>
          <w:sz w:val="28"/>
          <w:szCs w:val="28"/>
          <w:lang w:val="de-DE"/>
        </w:rPr>
        <w:t xml:space="preserve">- Việc phát hiện các yếu kém, sơ hở trong quản lý, chính sách pháp luật để kiến nghị </w:t>
      </w:r>
      <w:r>
        <w:rPr>
          <w:rFonts w:ascii="Times New Roman" w:eastAsia="Times New Roman" w:hAnsi="Times New Roman" w:cs="Times New Roman"/>
          <w:sz w:val="28"/>
          <w:szCs w:val="28"/>
          <w:lang w:val="de-DE"/>
        </w:rPr>
        <w:t xml:space="preserve">cơ quan có thẩm quyền chấn chỉnh, khắc phục, sửa đổi vẫn còn hạn chế. </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4"/>
          <w:sz w:val="28"/>
          <w:szCs w:val="28"/>
          <w:lang w:val="nl-NL"/>
        </w:rPr>
      </w:pPr>
      <w:r>
        <w:rPr>
          <w:rFonts w:ascii="Times New Roman" w:eastAsia="Times New Roman" w:hAnsi="Times New Roman" w:cs="Times New Roman"/>
          <w:spacing w:val="-4"/>
          <w:sz w:val="28"/>
          <w:szCs w:val="28"/>
          <w:lang w:val="de-DE"/>
        </w:rPr>
        <w:t>- Công tác quản lý nhà nước về tiếp công dân, giải quyết KNTC ở một số đơn vị, địa phương vẫn chưa được quan tâm đúng mức; vai trò, trách nhiệm của người đứng đầu một số đơn vị, địa phương trong việc tiếp công dân, giải quyết KNTC chưa rõ nét, chưa chủ động trong theo dõi tình hình, kịp thời xử lý các vụ việc.</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sz w:val="28"/>
          <w:szCs w:val="28"/>
          <w:lang w:val="de-DE"/>
        </w:rPr>
        <w:t>- Một số vụ việc đã giải quyết hết thẩm quyền nhưng công dân vẫn cố tình khiếu kiện vượt cấp ra các cơ quan Trung ương gây mất ổn định tình hình.</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sz w:val="28"/>
          <w:szCs w:val="28"/>
          <w:lang w:val="de-DE"/>
        </w:rPr>
        <w:t>- Công tác tuyên truyền, phổ biến, giáo dục pháp luật về KNTC chưa thường xuyên, sâu rộng, hiệu quả chưa cao.</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 Công tác phát hiện tham nhũng qua hoạt động thanh tra gặp nhiều khó khăn; qua thanh tra tuy đã phát hiện sai phạm và xử lý kinh tế nhưng việc phát hiện, đề xuất xử lý về hành vi tham nhũng chưa nhiều. </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sz w:val="28"/>
          <w:szCs w:val="28"/>
          <w:lang w:eastAsia="vi-VN"/>
        </w:rPr>
        <w:t xml:space="preserve"> - Công tác</w:t>
      </w:r>
      <w:r>
        <w:rPr>
          <w:rFonts w:ascii="Times New Roman" w:eastAsia="Times New Roman" w:hAnsi="Times New Roman" w:cs="Times New Roman"/>
          <w:sz w:val="28"/>
          <w:szCs w:val="28"/>
          <w:shd w:val="clear" w:color="auto" w:fill="FFFFFF"/>
        </w:rPr>
        <w:t xml:space="preserve"> kiểm tra, giám sát nội bộ vẫn là khâu yếu nên việc phát hiện tham nhũng qua hoạt động này cũng còn hạn chế. Việc triển khai công tác PCTN khu vực ngoài nhà nước chưa được thường xuyên, quyết liệt.</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Arial" w:hAnsi="Times New Roman" w:cs="Times New Roman"/>
          <w:b/>
          <w:sz w:val="28"/>
          <w:szCs w:val="28"/>
          <w:lang w:val="vi-VN"/>
        </w:rPr>
        <w:t>2. Nguyên nhân của những tồn tại, hạn chế</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b/>
          <w:i/>
          <w:sz w:val="28"/>
          <w:szCs w:val="28"/>
          <w:lang w:val="pt-BR"/>
        </w:rPr>
        <w:t xml:space="preserve">2.1. Nguyên nhân khách quan   </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sz w:val="28"/>
          <w:szCs w:val="28"/>
          <w:lang w:val="pt-BR"/>
        </w:rPr>
        <w:t>- Cơ chế, chính sách liên quan đến những nội dung KNTC, KNPA của công dân đặc biệt là liên quan đến lĩnh vực đất đai còn nhiều bất cập, chưa phù hợp, thay đổi qua các thời kỳ; vẫn còn có sự chênh lệch giữa giá bồi thường so với giá trị thực tế; một bộ phận công dân mức độ hiểu biết pháp luật và ý thức chấp hành pháp luật có phần còn hạn chế, dẫn đến phát sinh KNTC, KNPA.</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sz w:val="28"/>
          <w:szCs w:val="28"/>
          <w:lang w:val="pt-BR"/>
        </w:rPr>
        <w:t>- Pháp luật chưa có hướng dẫn cụ thể về xử lý đối với các trường hợp KNTC sai. Chưa có chế tài quy định đối với các vụ việc KNTC đã được cơ quan hành chính các cấp giải quyết hết thẩm quyền nhưng công dân vẫn cố tình gửi đơn, tập trung đến các cơ quan hành chính KNPA tiếp mà không thực hiện việc khởi kiện ra cơ quan Tòa án.</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sz w:val="28"/>
          <w:szCs w:val="28"/>
          <w:shd w:val="clear" w:color="auto" w:fill="FFFFFF"/>
        </w:rPr>
        <w:t xml:space="preserve">- Các quy định cụ thể về </w:t>
      </w:r>
      <w:r>
        <w:rPr>
          <w:rFonts w:ascii="Times New Roman" w:eastAsia="Times New Roman" w:hAnsi="Times New Roman" w:cs="Times New Roman"/>
          <w:sz w:val="28"/>
          <w:szCs w:val="28"/>
        </w:rPr>
        <w:t>PCTN</w:t>
      </w:r>
      <w:r>
        <w:rPr>
          <w:rFonts w:ascii="Times New Roman" w:eastAsia="Times New Roman" w:hAnsi="Times New Roman" w:cs="Times New Roman"/>
          <w:sz w:val="28"/>
          <w:szCs w:val="28"/>
          <w:shd w:val="clear" w:color="auto" w:fill="FFFFFF"/>
        </w:rPr>
        <w:t xml:space="preserve">, lãng phí chưa được điều chỉnh, bổ sung đầy đủ, vẫn còn thiếu các quy định và biện pháp cần thiết cho công tác đấu tranh chống tội phạm tham nhũng, tiêu cực; </w:t>
      </w:r>
      <w:r>
        <w:rPr>
          <w:rFonts w:ascii="Times New Roman" w:eastAsia="Times New Roman" w:hAnsi="Times New Roman" w:cs="Times New Roman"/>
          <w:sz w:val="28"/>
          <w:szCs w:val="28"/>
          <w:lang w:val="it-IT"/>
        </w:rPr>
        <w:t>cơ chế, chính sách để kiểm soát tài sản, thu nhập, nguồn gốc tài sản, thu nhập và giải pháp răn đe để người có điều kiện tham nhũng không dám tham nhũng chưa đủ mạnh và hiệu quả chưa cao.</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sz w:val="28"/>
          <w:szCs w:val="28"/>
          <w:lang w:val="it-IT"/>
        </w:rPr>
        <w:t>- Chưa có các biện pháp hữu hiệu để người tố cáo, tố giác hành vi tham nhũng và người thân của họ được bảo vệ an toàn tuyệt đối, đồng thời được vinh danh, khen thưởng xứng đáng</w:t>
      </w:r>
      <w:r>
        <w:rPr>
          <w:rFonts w:ascii="Times New Roman" w:eastAsia="Times New Roman" w:hAnsi="Times New Roman" w:cs="Times New Roman"/>
          <w:sz w:val="28"/>
          <w:szCs w:val="28"/>
          <w:shd w:val="clear" w:color="auto" w:fill="FFFFFF"/>
        </w:rPr>
        <w:t>.</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b/>
          <w:i/>
          <w:sz w:val="28"/>
          <w:szCs w:val="28"/>
        </w:rPr>
        <w:t>2.2.</w:t>
      </w:r>
      <w:r>
        <w:rPr>
          <w:rFonts w:ascii="Times New Roman" w:eastAsia="Times New Roman" w:hAnsi="Times New Roman" w:cs="Times New Roman"/>
          <w:b/>
          <w:i/>
          <w:sz w:val="28"/>
          <w:szCs w:val="28"/>
          <w:lang w:val="vi-VN"/>
        </w:rPr>
        <w:t xml:space="preserve"> Nguyên nhân chủ quan</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sz w:val="28"/>
          <w:szCs w:val="28"/>
        </w:rPr>
        <w:t>- Một số công dân chưa hiểu rõ các quy định của pháp luật về quyền và nghĩa vụ của người KNTC nên thực tế tình hình KNTC sai hoặc KNTC có đúng có sai vẫn còn phổ biến và chiếm tỷ lệ cao. Nhiều đơn thư có nội dung không rõ ràng hoặc trình bày không đúng nội dung yêu cầu giải quyết. Đặc biệt, có một số trường hợp nội dung đơn thư đã được các cấp, các ngành giải quyết, trả lời đúng quy định của pháp luật nhưng vẫn cố tình tiếp tục KNTC làm phức tạp tình hình.</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Calibri" w:hAnsi="Times New Roman" w:cs="Times New Roman"/>
          <w:bCs/>
          <w:spacing w:val="-2"/>
          <w:sz w:val="28"/>
          <w:szCs w:val="28"/>
          <w:lang w:val="de-DE"/>
        </w:rPr>
        <w:t>- Nhận thức về pháp luật của một số cán bộ, công chức trong việc thực hiện nhiệm vụ giải quyết KNTC còn có những hạn chế, nhất là trong việc xác định nội dung đơn, thẩm quyền xử lý, giải quyết đơn, do đó có một số vụ việc giải quyết chưa đảm bảo nội dung đơn của công dân. Chất lượng giải quyết đơn thư nói chung và giải quyết KNTC ở cấp xã và tại một số cơ quan, đơn vị còn hạn chế, thời gian giải quyết còn chậm.</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Calibri" w:hAnsi="Times New Roman" w:cs="Times New Roman"/>
          <w:bCs/>
          <w:spacing w:val="-2"/>
          <w:sz w:val="28"/>
          <w:szCs w:val="28"/>
          <w:lang w:val="de-DE"/>
        </w:rPr>
        <w:t>- Công tác quản lý nhà nước trên một số lĩnh vực, nhất là lĩnh vực đất đai (đặc biệt là cấp xã)</w:t>
      </w:r>
      <w:r>
        <w:rPr>
          <w:rFonts w:ascii="Times New Roman" w:eastAsia="Calibri" w:hAnsi="Times New Roman" w:cs="Times New Roman"/>
          <w:bCs/>
          <w:spacing w:val="-2"/>
          <w:sz w:val="28"/>
          <w:szCs w:val="28"/>
          <w:lang w:val="vi-VN"/>
        </w:rPr>
        <w:t xml:space="preserve"> qua nhiều thời kỳ</w:t>
      </w:r>
      <w:r>
        <w:rPr>
          <w:rFonts w:ascii="Times New Roman" w:eastAsia="Calibri" w:hAnsi="Times New Roman" w:cs="Times New Roman"/>
          <w:bCs/>
          <w:spacing w:val="-2"/>
          <w:sz w:val="28"/>
          <w:szCs w:val="28"/>
          <w:lang w:val="de-DE"/>
        </w:rPr>
        <w:t xml:space="preserve"> còn nhiều sai sót, chậm được xử lý.</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sz w:val="28"/>
          <w:szCs w:val="28"/>
          <w:shd w:val="clear" w:color="auto" w:fill="FFFFFF"/>
        </w:rPr>
        <w:t>- Việc tổ chức tuyên truyền pháp luật về Luật Tiếp công dân, Luật Khiếu nại, Luật Tố cáo, Luật PCTN đã được triển khai nhưng chưa đạt kết quả cao, nhất là tuyên truyền trong các tầng lớp Nhân dân.</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sz w:val="28"/>
          <w:szCs w:val="28"/>
          <w:shd w:val="clear" w:color="auto" w:fill="FFFFFF"/>
        </w:rPr>
        <w:t xml:space="preserve">- </w:t>
      </w:r>
      <w:r>
        <w:rPr>
          <w:rFonts w:ascii="Times New Roman" w:eastAsia="Times New Roman" w:hAnsi="Times New Roman" w:cs="Times New Roman"/>
          <w:sz w:val="28"/>
          <w:szCs w:val="28"/>
        </w:rPr>
        <w:t>Vai trò, trách nhiệm của một số cấp ủy đảng, chính quyền và</w:t>
      </w:r>
      <w:r>
        <w:rPr>
          <w:rFonts w:ascii="Times New Roman" w:eastAsia="Times New Roman" w:hAnsi="Times New Roman" w:cs="Times New Roman"/>
          <w:sz w:val="28"/>
          <w:szCs w:val="28"/>
          <w:shd w:val="clear" w:color="auto" w:fill="FFFFFF"/>
        </w:rPr>
        <w:t xml:space="preserve"> tính gương mẫu của người đứng đầu ở một số cơ quan, tổ chức, đơn vị trong công tác </w:t>
      </w:r>
      <w:r>
        <w:rPr>
          <w:rFonts w:ascii="Times New Roman" w:eastAsia="Times New Roman" w:hAnsi="Times New Roman" w:cs="Times New Roman"/>
          <w:sz w:val="28"/>
          <w:szCs w:val="28"/>
        </w:rPr>
        <w:t>PCTN, tiêu cực chưa cao</w:t>
      </w:r>
      <w:r>
        <w:rPr>
          <w:rFonts w:ascii="Times New Roman" w:eastAsia="Times New Roman" w:hAnsi="Times New Roman" w:cs="Times New Roman"/>
          <w:sz w:val="28"/>
          <w:szCs w:val="28"/>
          <w:shd w:val="clear" w:color="auto" w:fill="FFFFFF"/>
        </w:rPr>
        <w:t>. Công tác PCTN, tiêu cực trong các doanh nghiệp, tổ chức khu vực ngoài nhà nước đã được triển khai, hướng dẫn; tuy vậy, nhận thức và hiệu quả thực hiện còn hạn chế.</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 xml:space="preserve">3. Dự báo tình hình </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spacing w:val="-2"/>
          <w:sz w:val="28"/>
          <w:szCs w:val="28"/>
          <w:lang w:val="de-DE"/>
        </w:rPr>
      </w:pPr>
      <w:r>
        <w:rPr>
          <w:rFonts w:ascii="Times New Roman" w:eastAsia="Times New Roman" w:hAnsi="Times New Roman" w:cs="Times New Roman"/>
          <w:bCs/>
          <w:spacing w:val="-2"/>
          <w:sz w:val="28"/>
          <w:szCs w:val="28"/>
        </w:rPr>
        <w:t xml:space="preserve">- Thời gian tới </w:t>
      </w:r>
      <w:r>
        <w:rPr>
          <w:rFonts w:ascii="Times New Roman" w:eastAsia="Times New Roman" w:hAnsi="Times New Roman" w:cs="Times New Roman"/>
          <w:spacing w:val="-2"/>
          <w:sz w:val="28"/>
          <w:szCs w:val="28"/>
          <w:lang w:val="de-DE"/>
        </w:rPr>
        <w:t>khi thực hiện chính quyền địa phương 2 cấp, dự báo sẽ tiềm ẩn phát sinh KNTC liên quan đến giải quyết chế độ, chính sách, quyền và lợi ích hợp pháp của cán bộ công chức, viên chức, người lao động và việc bố trí công việc, việc giải quyết các thủ tục hành chính (thời điểm chuyển giao giữa chính quyền cũ và mới); đặc biệt theo quy định, các vụ việc KNTC thuộc thẩm quyền sau khi phát sinh sẽ được cấp xã giải quyết lần đầu, nếu công dân có đơn khiếu nại tiếp, thẩm quyền giải quyết lần 2 thuộc cấp tỉnh, nên khối lượng công việc ở cấp tỉnh sẽ phát sinh nhiều, tạo áp lực công việc đối với cán bộ, công chức trong xử lý cũng như việc tham mưu triển khai thực hiện các nhiệm vụ chuyên môn khác.</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spacing w:val="-2"/>
          <w:sz w:val="28"/>
          <w:szCs w:val="28"/>
          <w:lang w:val="de-DE"/>
        </w:rPr>
      </w:pPr>
      <w:r>
        <w:rPr>
          <w:rFonts w:ascii="Times New Roman" w:eastAsia="Times New Roman" w:hAnsi="Times New Roman" w:cs="Times New Roman"/>
          <w:spacing w:val="-2"/>
          <w:sz w:val="28"/>
          <w:szCs w:val="28"/>
          <w:lang w:val="de-DE"/>
        </w:rPr>
        <w:t xml:space="preserve">- Mặc dù một số vụ việc KNTC kéo dài nhiều năm đã được các cấp, các ngành tập trung giải quyết, góp phần ổn định tình hình chính trị và trật tự an toàn xã hội trên địa bàn; tuy vậy, thời gian tới việc khắc phục tình trạng ô nhiễm môi trường khi xử lý rác thải, công tác thu hồi đất, bồi thường GPMB thực hiện các công trình, dự án... dự báo sẽ tiếp tục phát sinh các KNTC, KNPA của công dân; bên cạnh đó vẫn còn một số vụ việc tồn đọng, phức tạp giải quyết chưa dứt điểm do còn nhiều vướng mắc sẽ dẫn đến công dân tập trung khiếu kiện đông người lên Tỉnh, ra Trung ương ... gây áp lực yêu cầu giải quyết làm mất trật tự công cộng. </w:t>
      </w:r>
    </w:p>
    <w:p>
      <w:pPr>
        <w:pBdr>
          <w:top w:val="dotted" w:sz="4" w:space="0" w:color="FFFFFF"/>
          <w:left w:val="dotted" w:sz="4" w:space="0" w:color="FFFFFF"/>
          <w:bottom w:val="dotted" w:sz="4" w:space="21" w:color="FFFFFF"/>
          <w:right w:val="dotted" w:sz="4" w:space="29" w:color="FFFFFF"/>
        </w:pBdr>
        <w:shd w:val="clear" w:color="auto" w:fill="FFFFFF"/>
        <w:spacing w:before="12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sz w:val="28"/>
          <w:szCs w:val="28"/>
        </w:rPr>
        <w:t xml:space="preserve">- Tình hình tham nhũng, tiêu cực trên địa bàn vẫn có thể diễn biến khó lường, hành vi tham nhũng sẽ ngày càng tinh vi hơn; tình trạng nhũng nhiễu, gây phiền hà cho người dân, doanh nghiệp trong giải quyết công việc để trục lợi, tình trạng “tham nhũng vặt” ở một bộ phận cán bộ, công chức, viên chức có thể diễn ra ở một số cơ quan, tổ chức, đơn vị, địa phương. Một số lĩnh vực có khả năng xảy ra tham nhũng như: đất đai, tài nguyên khoáng sản, đầu tư hạ tầng kỹ thuật, mua sắm tài sản công, các dự án đầu tư công có nguồn vốn từ ngân sách, vốn kinh doanh của đơn vị nhà nước, dịch vụ công, đấu giá quyền sử dụng đất; công tác đề bạt, bổ nhiệm, điều động, luân chuyển cán bộ…vv. </w:t>
      </w:r>
      <w:r>
        <w:rPr>
          <w:rFonts w:ascii="Times New Roman" w:eastAsia="Times New Roman" w:hAnsi="Times New Roman" w:cs="Times New Roman"/>
          <w:sz w:val="28"/>
          <w:szCs w:val="28"/>
          <w:lang w:val="vi-VN"/>
        </w:rPr>
        <w:t>Nhóm hành vi tham nhũng dễ xảy ra cần phải tập trung các giải pháp phòng ngừa và đấu tranh</w:t>
      </w:r>
      <w:r>
        <w:rPr>
          <w:rFonts w:ascii="Times New Roman" w:eastAsia="Times New Roman" w:hAnsi="Times New Roman" w:cs="Times New Roman"/>
          <w:sz w:val="28"/>
          <w:szCs w:val="28"/>
        </w:rPr>
        <w:t xml:space="preserve"> đó</w:t>
      </w:r>
      <w:r>
        <w:rPr>
          <w:rFonts w:ascii="Times New Roman" w:eastAsia="Times New Roman" w:hAnsi="Times New Roman" w:cs="Times New Roman"/>
          <w:sz w:val="28"/>
          <w:szCs w:val="28"/>
          <w:lang w:val="vi-VN"/>
        </w:rPr>
        <w:t xml:space="preserve"> là: </w:t>
      </w:r>
      <w:r>
        <w:rPr>
          <w:rFonts w:ascii="Times New Roman" w:eastAsia="Times New Roman" w:hAnsi="Times New Roman" w:cs="Times New Roman"/>
          <w:spacing w:val="-6"/>
          <w:sz w:val="28"/>
          <w:szCs w:val="28"/>
        </w:rPr>
        <w:t>l</w:t>
      </w:r>
      <w:r>
        <w:rPr>
          <w:rFonts w:ascii="Times New Roman" w:eastAsia="Times New Roman" w:hAnsi="Times New Roman" w:cs="Times New Roman"/>
          <w:spacing w:val="-6"/>
          <w:sz w:val="28"/>
          <w:szCs w:val="28"/>
          <w:lang w:val="vi-VN"/>
        </w:rPr>
        <w:t xml:space="preserve">ợi dụng chức vụ, quyền hạn trong khi thi hành nhiệm vụ công vụ vì vụ lợi; </w:t>
      </w:r>
      <w:r>
        <w:rPr>
          <w:rFonts w:ascii="Times New Roman" w:eastAsia="Times New Roman" w:hAnsi="Times New Roman" w:cs="Times New Roman"/>
          <w:sz w:val="28"/>
          <w:szCs w:val="28"/>
        </w:rPr>
        <w:t>đ</w:t>
      </w:r>
      <w:r>
        <w:rPr>
          <w:rFonts w:ascii="Times New Roman" w:eastAsia="Times New Roman" w:hAnsi="Times New Roman" w:cs="Times New Roman"/>
          <w:sz w:val="28"/>
          <w:szCs w:val="28"/>
          <w:lang w:val="vi-VN"/>
        </w:rPr>
        <w:t>ưa hối lộ, môi giới hối lộ để giải quyết công việc của cơ quan, tổ chức, đơn vị.</w:t>
      </w:r>
    </w:p>
    <w:p>
      <w:pPr>
        <w:pBdr>
          <w:top w:val="dotted" w:sz="4" w:space="0" w:color="FFFFFF"/>
          <w:left w:val="dotted" w:sz="4" w:space="0" w:color="FFFFFF"/>
          <w:bottom w:val="dotted" w:sz="4" w:space="21" w:color="FFFFFF"/>
          <w:right w:val="dotted" w:sz="4" w:space="29" w:color="FFFFFF"/>
        </w:pBdr>
        <w:shd w:val="clear" w:color="auto" w:fill="FFFFFF"/>
        <w:spacing w:before="12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b/>
          <w:sz w:val="26"/>
          <w:szCs w:val="26"/>
          <w:lang w:val="vi-VN"/>
        </w:rPr>
        <w:t>V. PHƯƠNG HƯỚNG, NHIỆM VỤ</w:t>
      </w:r>
      <w:r>
        <w:rPr>
          <w:rFonts w:ascii="Times New Roman" w:eastAsia="Times New Roman" w:hAnsi="Times New Roman" w:cs="Times New Roman"/>
          <w:b/>
          <w:sz w:val="26"/>
          <w:szCs w:val="26"/>
        </w:rPr>
        <w:t xml:space="preserve"> 6 THÁNG CUỐI</w:t>
      </w:r>
      <w:r>
        <w:rPr>
          <w:rFonts w:ascii="Times New Roman" w:eastAsia="Times New Roman" w:hAnsi="Times New Roman" w:cs="Times New Roman"/>
          <w:b/>
          <w:sz w:val="26"/>
          <w:szCs w:val="26"/>
          <w:lang w:val="vi-VN"/>
        </w:rPr>
        <w:t xml:space="preserve"> NĂM 20</w:t>
      </w:r>
      <w:r>
        <w:rPr>
          <w:rFonts w:ascii="Times New Roman" w:eastAsia="Times New Roman" w:hAnsi="Times New Roman" w:cs="Times New Roman"/>
          <w:b/>
          <w:sz w:val="26"/>
          <w:szCs w:val="26"/>
        </w:rPr>
        <w:t>25</w:t>
      </w:r>
    </w:p>
    <w:p>
      <w:pPr>
        <w:pBdr>
          <w:top w:val="dotted" w:sz="4" w:space="0" w:color="FFFFFF"/>
          <w:left w:val="dotted" w:sz="4" w:space="0" w:color="FFFFFF"/>
          <w:bottom w:val="dotted" w:sz="4" w:space="21" w:color="FFFFFF"/>
          <w:right w:val="dotted" w:sz="4" w:space="29" w:color="FFFFFF"/>
        </w:pBdr>
        <w:shd w:val="clear" w:color="auto" w:fill="FFFFFF"/>
        <w:spacing w:before="12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b/>
          <w:sz w:val="28"/>
          <w:szCs w:val="28"/>
          <w:lang w:val="vi-VN"/>
        </w:rPr>
        <w:t xml:space="preserve">1. Công tác tiếp </w:t>
      </w:r>
      <w:r>
        <w:rPr>
          <w:rFonts w:ascii="Times New Roman" w:eastAsia="Times New Roman" w:hAnsi="Times New Roman" w:cs="Times New Roman"/>
          <w:b/>
          <w:sz w:val="28"/>
          <w:szCs w:val="28"/>
        </w:rPr>
        <w:t xml:space="preserve">công </w:t>
      </w:r>
      <w:r>
        <w:rPr>
          <w:rFonts w:ascii="Times New Roman" w:eastAsia="Times New Roman" w:hAnsi="Times New Roman" w:cs="Times New Roman"/>
          <w:b/>
          <w:sz w:val="28"/>
          <w:szCs w:val="28"/>
          <w:lang w:val="vi-VN"/>
        </w:rPr>
        <w:t>dân, giải quyết KNTC</w:t>
      </w:r>
    </w:p>
    <w:p>
      <w:pPr>
        <w:pBdr>
          <w:top w:val="dotted" w:sz="4" w:space="0" w:color="FFFFFF"/>
          <w:left w:val="dotted" w:sz="4" w:space="0" w:color="FFFFFF"/>
          <w:bottom w:val="dotted" w:sz="4" w:space="21" w:color="FFFFFF"/>
          <w:right w:val="dotted" w:sz="4" w:space="29" w:color="FFFFFF"/>
        </w:pBdr>
        <w:shd w:val="clear" w:color="auto" w:fill="FFFFFF"/>
        <w:spacing w:before="120" w:after="0" w:line="240" w:lineRule="auto"/>
        <w:ind w:firstLine="680"/>
        <w:jc w:val="both"/>
        <w:rPr>
          <w:rFonts w:ascii="Times New Roman" w:hAnsi="Times New Roman" w:cs="Times New Roman"/>
          <w:spacing w:val="-2"/>
          <w:sz w:val="28"/>
          <w:szCs w:val="28"/>
          <w:lang w:val="nl-NL"/>
        </w:rPr>
      </w:pPr>
      <w:r>
        <w:rPr>
          <w:rFonts w:ascii="Times New Roman" w:eastAsia="Calibri" w:hAnsi="Times New Roman" w:cs="Times New Roman"/>
          <w:bCs/>
          <w:spacing w:val="-2"/>
          <w:sz w:val="28"/>
          <w:szCs w:val="28"/>
          <w:lang w:val="de-DE"/>
        </w:rPr>
        <w:t xml:space="preserve">- </w:t>
      </w:r>
      <w:r>
        <w:rPr>
          <w:rFonts w:ascii="Times New Roman" w:eastAsia="Times New Roman" w:hAnsi="Times New Roman" w:cs="Times New Roman"/>
          <w:sz w:val="28"/>
          <w:szCs w:val="28"/>
          <w:lang w:val="de-DE"/>
        </w:rPr>
        <w:t>Thực</w:t>
      </w:r>
      <w:r>
        <w:rPr>
          <w:rFonts w:ascii="Times New Roman" w:eastAsia="Calibri" w:hAnsi="Times New Roman" w:cs="Times New Roman"/>
          <w:bCs/>
          <w:spacing w:val="-2"/>
          <w:sz w:val="28"/>
          <w:szCs w:val="28"/>
          <w:lang w:val="de-DE"/>
        </w:rPr>
        <w:t xml:space="preserve"> hiện nghiêm túc, có hiệu quả các Nghị quyết, Chỉ thị của Trung ương, Quốc hội, Chính phủ và các văn bản quy phạm pháp luật về công tác tiếp công dân, giải quyết KNTC. Đặc biệt là việc triển khai các quy định (quy định tạm thời) về bố trí công tác tiếp công dân sau sắp xếp kiện toàn tổ chức bộ máy tại các đơn vị, địa phương.</w:t>
      </w:r>
    </w:p>
    <w:p>
      <w:pPr>
        <w:pBdr>
          <w:top w:val="dotted" w:sz="4" w:space="0" w:color="FFFFFF"/>
          <w:left w:val="dotted" w:sz="4" w:space="0" w:color="FFFFFF"/>
          <w:bottom w:val="dotted" w:sz="4" w:space="21" w:color="FFFFFF"/>
          <w:right w:val="dotted" w:sz="4" w:space="29" w:color="FFFFFF"/>
        </w:pBdr>
        <w:shd w:val="clear" w:color="auto" w:fill="FFFFFF"/>
        <w:spacing w:before="12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sz w:val="28"/>
          <w:szCs w:val="28"/>
          <w:lang w:val="de-DE"/>
        </w:rPr>
        <w:t>- Thanh tra tỉnh phối hợp tốt với Ban Tiếp công dân tỉnh và các sở, ngành, địa phương liên quan theo dõi sát diễn biến tình hình KNTC tại các đơn vị, địa phương; đặc biệt sau khi sắp xếp lại thành chính quyền địa phương 02 cấp và giải thể cơ quan thanh tra cấp sở, cấp huyện phải chủ động đôn đốc, hướng dẫn, chỉ đạo các địa phương (phường, xã mới thành lập) giải quyết kịp thời đối với các vụ việc chuyển tiếp và các vụ việc mới phát sinh, tập trung xử lý các vụ việc tiềm ẩn phát sinh điểm nóng, không để công dân đi lại nhiều lần, gây bức xúc. Đối với các vụ việc có tính chất phức tạp, vượt thẩm quyền, kịp thời báo cáo xin ý kiến chỉ đạo, tham vấn của các cơ quan Trung ương và Chính phủ để xử lý kịp thời.</w:t>
      </w:r>
    </w:p>
    <w:p>
      <w:pPr>
        <w:pBdr>
          <w:top w:val="dotted" w:sz="4" w:space="0" w:color="FFFFFF"/>
          <w:left w:val="dotted" w:sz="4" w:space="0" w:color="FFFFFF"/>
          <w:bottom w:val="dotted" w:sz="4" w:space="21" w:color="FFFFFF"/>
          <w:right w:val="dotted" w:sz="4" w:space="29" w:color="FFFFFF"/>
        </w:pBdr>
        <w:shd w:val="clear" w:color="auto" w:fill="FFFFFF"/>
        <w:spacing w:before="12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spacing w:val="-2"/>
          <w:sz w:val="28"/>
          <w:szCs w:val="28"/>
          <w:lang w:val="de-DE"/>
        </w:rPr>
        <w:t>- Tăng cường phổ biến, giáo dục pháp luật nhằm tiếp tục nâng cao nhận thức, trách nhiệm của cán bộ, công chức, viên chức đối với công tác tiếp công dân, giải quyết KNTC; tăng cường công tác tuyên truyền, đối thoại, giải thích để nâng cao hiểu biết pháp luật, giúp người dân thực hiện đúng quyền, nghĩa vụ về KNTC</w:t>
      </w:r>
      <w:r>
        <w:rPr>
          <w:rFonts w:ascii="Times New Roman" w:eastAsia="Times New Roman" w:hAnsi="Times New Roman" w:cs="Times New Roman"/>
          <w:bCs/>
          <w:spacing w:val="-2"/>
          <w:kern w:val="36"/>
          <w:sz w:val="28"/>
          <w:szCs w:val="28"/>
          <w:lang w:val="de-DE"/>
        </w:rPr>
        <w:t>.</w:t>
      </w:r>
    </w:p>
    <w:p>
      <w:pPr>
        <w:pBdr>
          <w:top w:val="dotted" w:sz="4" w:space="0" w:color="FFFFFF"/>
          <w:left w:val="dotted" w:sz="4" w:space="0" w:color="FFFFFF"/>
          <w:bottom w:val="dotted" w:sz="4" w:space="21" w:color="FFFFFF"/>
          <w:right w:val="dotted" w:sz="4" w:space="29" w:color="FFFFFF"/>
        </w:pBdr>
        <w:shd w:val="clear" w:color="auto" w:fill="FFFFFF"/>
        <w:spacing w:before="120" w:after="0" w:line="240" w:lineRule="auto"/>
        <w:ind w:firstLine="680"/>
        <w:jc w:val="both"/>
        <w:rPr>
          <w:rFonts w:ascii="Times New Roman" w:hAnsi="Times New Roman" w:cs="Times New Roman"/>
          <w:spacing w:val="-2"/>
          <w:sz w:val="28"/>
          <w:szCs w:val="28"/>
          <w:lang w:val="nl-NL"/>
        </w:rPr>
      </w:pPr>
      <w:r>
        <w:rPr>
          <w:rFonts w:ascii="Times New Roman" w:eastAsia="Calibri" w:hAnsi="Times New Roman" w:cs="Times New Roman"/>
          <w:bCs/>
          <w:sz w:val="28"/>
          <w:szCs w:val="28"/>
          <w:lang w:val="de-DE"/>
        </w:rPr>
        <w:t xml:space="preserve">- Tiếp tục kiểm tra, rà soát, tham mưu giải quyết dứt điểm các vụ việc tồn đọng, phức tạp, kéo dài theo Kế hoạch </w:t>
      </w:r>
      <w:r>
        <w:rPr>
          <w:rFonts w:ascii="Times New Roman" w:eastAsia="Times New Roman" w:hAnsi="Times New Roman" w:cs="Times New Roman"/>
          <w:bCs/>
          <w:sz w:val="28"/>
          <w:szCs w:val="28"/>
          <w:lang w:val="de-DE"/>
        </w:rPr>
        <w:t>363/KH-TTCP của Thanh tra Chính phủ</w:t>
      </w:r>
      <w:r>
        <w:rPr>
          <w:rFonts w:ascii="Times New Roman" w:eastAsia="Times New Roman" w:hAnsi="Times New Roman" w:cs="Times New Roman"/>
          <w:bCs/>
          <w:spacing w:val="-2"/>
          <w:sz w:val="28"/>
          <w:szCs w:val="28"/>
          <w:lang w:val="de-DE"/>
        </w:rPr>
        <w:t>.</w:t>
      </w:r>
    </w:p>
    <w:p>
      <w:pPr>
        <w:pBdr>
          <w:top w:val="dotted" w:sz="4" w:space="0" w:color="FFFFFF"/>
          <w:left w:val="dotted" w:sz="4" w:space="0" w:color="FFFFFF"/>
          <w:bottom w:val="dotted" w:sz="4" w:space="21" w:color="FFFFFF"/>
          <w:right w:val="dotted" w:sz="4" w:space="29" w:color="FFFFFF"/>
        </w:pBdr>
        <w:shd w:val="clear" w:color="auto" w:fill="FFFFFF"/>
        <w:spacing w:before="12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sz w:val="28"/>
          <w:szCs w:val="28"/>
          <w:lang w:val="de-DE"/>
        </w:rPr>
        <w:t>- Các cấp, ngành thường xuyên bám sát địa bàn, tập trung giải quyết kịp thời KNTC phát sinh; chú trọng làm tốt công tác hòa giải gắn với vận động Nhân dân chấp hành tốt các chủ trương của Đảng, chính sách, pháp luật của Nhà nước, hạn chế việc KNTC trái quy định, vượt cấp.</w:t>
      </w:r>
    </w:p>
    <w:p>
      <w:pPr>
        <w:pBdr>
          <w:top w:val="dotted" w:sz="4" w:space="0" w:color="FFFFFF"/>
          <w:left w:val="dotted" w:sz="4" w:space="0" w:color="FFFFFF"/>
          <w:bottom w:val="dotted" w:sz="4" w:space="21" w:color="FFFFFF"/>
          <w:right w:val="dotted" w:sz="4" w:space="29" w:color="FFFFFF"/>
        </w:pBdr>
        <w:shd w:val="clear" w:color="auto" w:fill="FFFFFF"/>
        <w:spacing w:before="12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sz w:val="28"/>
          <w:szCs w:val="28"/>
          <w:lang w:val="de-DE"/>
        </w:rPr>
        <w:t xml:space="preserve">- Tăng cường công tác tư vấn, góp ý tháo gỡ các vướng mắc, khó khăn khi giải quyết vụ việc KNTC phức tạp; tiếp tục đẩy mạnh thực hiện chủ trương hướng về cơ sở để giải quyết các KNTC ngay từ khi mới phát sinh. </w:t>
      </w:r>
    </w:p>
    <w:p>
      <w:pPr>
        <w:pBdr>
          <w:top w:val="dotted" w:sz="4" w:space="0" w:color="FFFFFF"/>
          <w:left w:val="dotted" w:sz="4" w:space="0" w:color="FFFFFF"/>
          <w:bottom w:val="dotted" w:sz="4" w:space="21" w:color="FFFFFF"/>
          <w:right w:val="dotted" w:sz="4" w:space="29" w:color="FFFFFF"/>
        </w:pBdr>
        <w:shd w:val="clear" w:color="auto" w:fill="FFFFFF"/>
        <w:spacing w:before="12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sz w:val="28"/>
          <w:szCs w:val="28"/>
          <w:lang w:val="de-DE"/>
        </w:rPr>
        <w:t>- Triển khai kịp thời các cuộc thanh tra trách nhiệm, gắn với thanh tra công vụ để nâng cao trách nhiệm người đứng đầu và cán bộ, công chức trong thực thi nhiệm vụ, giảm tối đa các KNTC, KNPA của Nhân dân.</w:t>
      </w:r>
    </w:p>
    <w:p>
      <w:pPr>
        <w:pBdr>
          <w:top w:val="dotted" w:sz="4" w:space="0" w:color="FFFFFF"/>
          <w:left w:val="dotted" w:sz="4" w:space="0" w:color="FFFFFF"/>
          <w:bottom w:val="dotted" w:sz="4" w:space="21" w:color="FFFFFF"/>
          <w:right w:val="dotted" w:sz="4" w:space="29" w:color="FFFFFF"/>
        </w:pBdr>
        <w:shd w:val="clear" w:color="auto" w:fill="FFFFFF"/>
        <w:spacing w:before="120" w:after="0" w:line="240" w:lineRule="auto"/>
        <w:ind w:firstLine="680"/>
        <w:jc w:val="both"/>
        <w:rPr>
          <w:rFonts w:ascii="Times New Roman" w:hAnsi="Times New Roman" w:cs="Times New Roman"/>
          <w:spacing w:val="-2"/>
          <w:sz w:val="28"/>
          <w:szCs w:val="28"/>
          <w:lang w:val="nl-NL"/>
        </w:rPr>
      </w:pPr>
      <w:r>
        <w:rPr>
          <w:rFonts w:ascii="Times New Roman" w:eastAsia="Calibri" w:hAnsi="Times New Roman" w:cs="Times New Roman"/>
          <w:sz w:val="28"/>
          <w:szCs w:val="28"/>
          <w:lang w:val="de-DE"/>
        </w:rPr>
        <w:t xml:space="preserve">- Thường xuyên tập huấn, nâng cao nghiệp vụ cho đội ngũ cán bộ, công chức, viên chức làm công tác tiếp công dân, </w:t>
      </w:r>
      <w:r>
        <w:rPr>
          <w:rFonts w:ascii="Times New Roman" w:eastAsia="Calibri" w:hAnsi="Times New Roman" w:cs="Times New Roman"/>
          <w:sz w:val="28"/>
          <w:szCs w:val="28"/>
          <w:lang w:val="vi-VN"/>
        </w:rPr>
        <w:t>xử lý</w:t>
      </w:r>
      <w:r>
        <w:rPr>
          <w:rFonts w:ascii="Times New Roman" w:eastAsia="Calibri" w:hAnsi="Times New Roman" w:cs="Times New Roman"/>
          <w:sz w:val="28"/>
          <w:szCs w:val="28"/>
          <w:lang w:val="en-GB"/>
        </w:rPr>
        <w:t xml:space="preserve"> đơn thư</w:t>
      </w:r>
      <w:r>
        <w:rPr>
          <w:rFonts w:ascii="Times New Roman" w:eastAsia="Calibri" w:hAnsi="Times New Roman" w:cs="Times New Roman"/>
          <w:sz w:val="28"/>
          <w:szCs w:val="28"/>
          <w:lang w:val="vi-VN"/>
        </w:rPr>
        <w:t xml:space="preserve">, </w:t>
      </w:r>
      <w:r>
        <w:rPr>
          <w:rFonts w:ascii="Times New Roman" w:eastAsia="Calibri" w:hAnsi="Times New Roman" w:cs="Times New Roman"/>
          <w:sz w:val="28"/>
          <w:szCs w:val="28"/>
          <w:lang w:val="de-DE"/>
        </w:rPr>
        <w:t>giải quyết KNTC. Đề cao vai trò, trách nhiệm của người đứng đầu các ngành, các cấp trong công tác tiếp công dân, giải quyết đơn thư KNTC, KNPA, trong đó lưu ý làm tốt công tác đối thoại, hòa giải cơ sở, nhất là đối với những nơi tiềm ẩn phát sinh đơn thư trong quá trình thực hiện công tác bồi thường, GPMB, tái định cư.</w:t>
      </w:r>
    </w:p>
    <w:p>
      <w:pPr>
        <w:pBdr>
          <w:top w:val="dotted" w:sz="4" w:space="0" w:color="FFFFFF"/>
          <w:left w:val="dotted" w:sz="4" w:space="0" w:color="FFFFFF"/>
          <w:bottom w:val="dotted" w:sz="4" w:space="21" w:color="FFFFFF"/>
          <w:right w:val="dotted" w:sz="4" w:space="29" w:color="FFFFFF"/>
        </w:pBdr>
        <w:shd w:val="clear" w:color="auto" w:fill="FFFFFF"/>
        <w:spacing w:before="120" w:after="0" w:line="240" w:lineRule="auto"/>
        <w:ind w:firstLine="680"/>
        <w:jc w:val="both"/>
        <w:rPr>
          <w:rFonts w:ascii="Times New Roman" w:hAnsi="Times New Roman" w:cs="Times New Roman"/>
          <w:spacing w:val="-2"/>
          <w:sz w:val="28"/>
          <w:szCs w:val="28"/>
          <w:lang w:val="nl-NL"/>
        </w:rPr>
      </w:pPr>
      <w:r>
        <w:rPr>
          <w:rFonts w:ascii="Times New Roman" w:eastAsia="Times New Roman" w:hAnsi="Times New Roman" w:cs="Times New Roman"/>
          <w:b/>
          <w:sz w:val="28"/>
          <w:szCs w:val="28"/>
          <w:lang w:val="vi-VN"/>
        </w:rPr>
        <w:t>2. Công tác PCTN</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Calibri" w:hAnsi="Times New Roman" w:cs="Times New Roman"/>
          <w:sz w:val="28"/>
          <w:szCs w:val="28"/>
        </w:rPr>
        <w:t xml:space="preserve">- Tiếp tục quán triệt, triển khai thực hiện nghiêm túc các chỉ đạo của Trung ương và các quy định của pháp luật nhằm tạo chuyển biến rõ rệt hơn trong nhận </w:t>
      </w:r>
      <w:r>
        <w:rPr>
          <w:rFonts w:ascii="Times New Roman" w:eastAsia="Calibri" w:hAnsi="Times New Roman" w:cs="Times New Roman"/>
          <w:sz w:val="28"/>
          <w:szCs w:val="28"/>
          <w:lang w:val="vi-VN"/>
        </w:rPr>
        <w:t>thức</w:t>
      </w:r>
      <w:r>
        <w:rPr>
          <w:rFonts w:ascii="Times New Roman" w:eastAsia="Calibri" w:hAnsi="Times New Roman" w:cs="Times New Roman"/>
          <w:sz w:val="28"/>
          <w:szCs w:val="28"/>
        </w:rPr>
        <w:t xml:space="preserve"> và hành động của cán bộ, đảng viên về công tác PCTN. </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rPr>
        <w:t xml:space="preserve">- Nâng cao hiệu quả công tác tuyên truyền, giáo dục, </w:t>
      </w:r>
      <w:r>
        <w:rPr>
          <w:rFonts w:ascii="Times New Roman" w:eastAsia="Calibri" w:hAnsi="Times New Roman" w:cs="Times New Roman"/>
          <w:sz w:val="28"/>
          <w:szCs w:val="28"/>
          <w:shd w:val="clear" w:color="auto" w:fill="FFFFFF"/>
        </w:rPr>
        <w:t>tăng cường phối hợp và kịp thời cung cấp, công khai thông tin, định hướng tuyên truyền về PCTN, tạo sự đồng thuận của cả hệ thống chính trị trong thực hiện nhiệm vụ PCTN; thông qua đó, đấu tranh với các luận điệu xuyên tạc của các thế lực thù địch lợi dụng PCTN để chống phá Đảng, Nhà nước.</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Calibri" w:hAnsi="Times New Roman" w:cs="Times New Roman"/>
          <w:sz w:val="28"/>
          <w:szCs w:val="28"/>
        </w:rPr>
        <w:t>- Đẩy mạnh CCHC, thực hiện nghiêm các quy định về công khai, minh bạch và trách nhiệm giải trình trong tổ chức và hoạt động của các cơ quan, tổ chức, đơn vị; tiếp tục triển khai các quy định, hướng dẫn về thực hiện kiểm soát tài sản, thu nhập của người có chức vụ, quyền hạn.</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Calibri" w:hAnsi="Times New Roman" w:cs="Times New Roman"/>
          <w:sz w:val="28"/>
          <w:szCs w:val="28"/>
        </w:rPr>
        <w:t>- Phát huy đầy đủ vai trò, trách nhiệm của các cơ quan dân cử và đại biểu dân cử, Mặt trận Tổ quốc, các tổ chức chính trị - xã hội, xã hội - nghề nghiệp, cơ quan truyền thông, báo chí và Nhân dân trong công tác PCTN.</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Calibri" w:hAnsi="Times New Roman" w:cs="Times New Roman"/>
          <w:sz w:val="28"/>
          <w:szCs w:val="28"/>
          <w:shd w:val="clear" w:color="auto" w:fill="FFFFFF"/>
        </w:rPr>
        <w:t>- Chủ động thông tin về kết quả kiểm tra, thanh tra, xử lý cán bộ, đảng viên vi phạm; khởi tố, điều tra, truy tố, xét xử các vụ án tham nhũng, kinh tế; thường xuyên quán triệt về những vấn đề nhạy cảm, dư luận xã hội quan tâm trong đấu tranh PCTN cùng với việc chủ động tuyên truyền gương người tốt, việc tốt; bảo vệ, khen thưởng, động viên kịp thời những người dũng cảm đấu tranh chống tham nhũng để tạo sự lan tỏa trong cộng đồng.</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Calibri" w:hAnsi="Times New Roman" w:cs="Times New Roman"/>
          <w:sz w:val="28"/>
          <w:szCs w:val="28"/>
        </w:rPr>
        <w:t xml:space="preserve">- Đề cao trách nhiệm tự kiểm tra của các cơ quan, tổ chức, doanh nghiệp. Đổi mới phương thức hoạt động thanh tra, tăng cường tính công khai trong hoạt động thanh tra. </w:t>
      </w:r>
      <w:r>
        <w:rPr>
          <w:rFonts w:ascii="Times New Roman" w:eastAsia="Calibri" w:hAnsi="Times New Roman" w:cs="Times New Roman"/>
          <w:bCs/>
          <w:iCs/>
          <w:sz w:val="28"/>
          <w:szCs w:val="28"/>
          <w:bdr w:val="none" w:sz="0" w:space="0" w:color="auto" w:frame="1"/>
        </w:rPr>
        <w:t xml:space="preserve">Thông qua công tác thanh tra, kiểm tra, rà soát chấn chỉnh để từng bước nâng cao hiệu quả việc thực hiện các biện pháp phòng ngừa tham nhũng và thực hành tiết kiệm, chống lãng phí; đẩy mạnh phân cấp quản lý, CCHC, cải cách thể chế; tiếp tục thực hiện có hiệu quả việc công khai, đảm bảo tính minh bạch trong hoạt động của các cơ quan, tổ chức, đơn vị; việc thực hiện các chế độ, tiêu chuẩn, định mức; tiếp tục đôn đốc kiểm tra việc thực hiện, chuyển đổi vị trí công tác, việc tặng quà, nộp lại quà tặng tại các cơ quan, đơn vị; kiểm soát tài sản, thu nhập và kiểm soát xung đột lợi ích của người có chức vụ, quyền hạn; tăng cường việc áp dụng khoa học, công nghệ trong quản lý để phát huy hiệu quả phòng, ngừa tham nhũng; thực hiện quy tắc ứng xử, quy tắc đạo đức nghề nghiệp của cán bộ, công chức, viên chức ở </w:t>
      </w:r>
      <w:r>
        <w:rPr>
          <w:rFonts w:ascii="Times New Roman" w:eastAsia="Calibri" w:hAnsi="Times New Roman" w:cs="Times New Roman"/>
          <w:sz w:val="28"/>
          <w:szCs w:val="28"/>
        </w:rPr>
        <w:t>từng cơ quan, đơn vị, chú trọng quy định những việc không được làm liên quan đến người dân và doanh nghiệp. Thực hiện nghiêm túc kịp thời các kết luận và quyết định xử lý sau thanh tra; tăng cường sự phối hợp giữa Thanh tra nhà nước với các cơ quan Điều tra, Viện Kiểm sát, Toà án và Cơ quan kiểm tra Đảng trong đấu tranh PCTN.</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Calibri" w:hAnsi="Times New Roman" w:cs="Times New Roman"/>
          <w:sz w:val="28"/>
          <w:szCs w:val="28"/>
        </w:rPr>
        <w:t>- Tiếp tục quan tâm, tạo điều kiện hơn nữa đối với tổ chức bộ máy, biên chế của cơ quan thực hiện chức năng PCTN để đảm bảo thực hiện tốt chức năng, nhiệm vụ, quyền hạn được giao; phục vụ đắc lực nhiệm vụ chính trị, nhiệm vụ trọng tâm của địa phương trong tình hình mới.</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Calibri" w:hAnsi="Times New Roman" w:cs="Times New Roman"/>
          <w:sz w:val="28"/>
          <w:szCs w:val="28"/>
        </w:rPr>
        <w:t xml:space="preserve">- Tăng cường bổ sung đảm bảo về số lượng và chất lượng cán bộ, công chức làm công tác tiếp công dân, giải quyết KNTC, PCTN. Tiếp tục triển khai thực hiện nghiêm túc các quy định về siết chặt kỷ luật, kỷ cương hành chính, văn hóa công sở và các chuẩn mực đạo đức, quy tắc ứng xử của cán bộ, công chức, chiến sỹ lực lượng vũ trang nói chung và cán bộ, công chức làm công tác thanh tra, tiếp công dân, giải quyết KNTC, PCTN nói riêng.                                                               </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hAnsi="Times New Roman" w:cs="Times New Roman"/>
          <w:spacing w:val="-2"/>
          <w:sz w:val="28"/>
          <w:szCs w:val="28"/>
          <w:lang w:val="nl-NL"/>
        </w:rPr>
      </w:pPr>
      <w:r>
        <w:rPr>
          <w:rFonts w:ascii="Times New Roman" w:eastAsia="Calibri" w:hAnsi="Times New Roman" w:cs="Times New Roman"/>
          <w:sz w:val="28"/>
          <w:szCs w:val="28"/>
        </w:rPr>
        <w:t>- Thực hiện nghiêm túc chế độ thông tin, báo cáo về công tác PCTN; nâng cao chất lượng báo cáo của các tổ chức, cơ quan, đơn vị để bảo đảm có đầy đủ thông tin, phục vụ kịp thời cho sự chỉ đạo, điều hành công tác PCTN.</w:t>
      </w:r>
      <w:r>
        <w:rPr>
          <w:rFonts w:ascii="Times New Roman" w:hAnsi="Times New Roman" w:cs="Times New Roman"/>
          <w:spacing w:val="-2"/>
          <w:sz w:val="28"/>
          <w:szCs w:val="28"/>
          <w:lang w:val="nl-NL"/>
        </w:rPr>
        <w:t xml:space="preserve"> </w:t>
      </w:r>
    </w:p>
    <w:p>
      <w:pPr>
        <w:pBdr>
          <w:top w:val="dotted" w:sz="4" w:space="0" w:color="FFFFFF"/>
          <w:left w:val="dotted" w:sz="4" w:space="0" w:color="FFFFFF"/>
          <w:bottom w:val="dotted" w:sz="4" w:space="21" w:color="FFFFFF"/>
          <w:right w:val="dotted" w:sz="4" w:space="29" w:color="FFFFFF"/>
        </w:pBdr>
        <w:shd w:val="clear" w:color="auto" w:fill="FFFFFF"/>
        <w:spacing w:before="100" w:after="0" w:line="240" w:lineRule="auto"/>
        <w:ind w:firstLine="680"/>
        <w:jc w:val="both"/>
        <w:rPr>
          <w:rFonts w:ascii="Times New Roman" w:eastAsia="Times New Roman" w:hAnsi="Times New Roman" w:cs="Times New Roman"/>
          <w:sz w:val="28"/>
          <w:szCs w:val="28"/>
        </w:rPr>
      </w:pPr>
      <w:r>
        <w:rPr>
          <w:rFonts w:ascii="Times New Roman" w:eastAsia="Calibri" w:hAnsi="Times New Roman" w:cs="Times New Roman"/>
          <w:sz w:val="28"/>
          <w:szCs w:val="28"/>
        </w:rPr>
        <w:t>Trên đây là kết quả công tác tiếp công dân, giải quyết đơn thư KNTC và đấu tranh PCTN 6 tháng đầu năm,</w:t>
      </w:r>
      <w:r>
        <w:rPr>
          <w:rFonts w:ascii="Times New Roman" w:eastAsia="Times New Roman" w:hAnsi="Times New Roman" w:cs="Times New Roman"/>
          <w:sz w:val="28"/>
          <w:szCs w:val="28"/>
        </w:rPr>
        <w:t xml:space="preserve"> phương hướng nhiệm vụ 6 tháng cuối năm 2025, UBND tỉnh báo cáo tại kỳ họp giữa năm 2025, HĐND tỉnh Khóa XVIII./.     </w:t>
      </w: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678"/>
      </w:tblGrid>
      <w:tr>
        <w:tc>
          <w:tcPr>
            <w:tcW w:w="4531" w:type="dxa"/>
          </w:tcPr>
          <w:p>
            <w:pPr>
              <w:widowControl w:val="0"/>
              <w:spacing w:after="0" w:line="240" w:lineRule="auto"/>
              <w:jc w:val="both"/>
              <w:rPr>
                <w:rFonts w:ascii="Times New Roman" w:hAnsi="Times New Roman" w:cs="Times New Roman"/>
                <w:sz w:val="24"/>
                <w:szCs w:val="24"/>
                <w:lang w:val="de-DE"/>
              </w:rPr>
            </w:pPr>
            <w:r>
              <w:rPr>
                <w:rFonts w:ascii="Times New Roman" w:hAnsi="Times New Roman" w:cs="Times New Roman"/>
                <w:b/>
                <w:i/>
                <w:sz w:val="24"/>
                <w:szCs w:val="24"/>
                <w:lang w:val="de-DE"/>
              </w:rPr>
              <w:t>Nơi nhận:</w:t>
            </w:r>
          </w:p>
          <w:p>
            <w:pPr>
              <w:widowControl w:val="0"/>
              <w:spacing w:after="0" w:line="240" w:lineRule="auto"/>
              <w:jc w:val="both"/>
              <w:rPr>
                <w:rFonts w:ascii="Times New Roman" w:hAnsi="Times New Roman" w:cs="Times New Roman"/>
                <w:lang w:val="de-DE"/>
              </w:rPr>
            </w:pPr>
            <w:r>
              <w:rPr>
                <w:rFonts w:ascii="Times New Roman" w:hAnsi="Times New Roman" w:cs="Times New Roman"/>
                <w:lang w:val="de-DE"/>
              </w:rPr>
              <w:t>- Thường trực Tỉnh ủy;</w:t>
            </w:r>
          </w:p>
          <w:p>
            <w:pPr>
              <w:widowControl w:val="0"/>
              <w:spacing w:after="0" w:line="240" w:lineRule="auto"/>
              <w:jc w:val="both"/>
              <w:rPr>
                <w:rFonts w:ascii="Times New Roman" w:hAnsi="Times New Roman" w:cs="Times New Roman"/>
                <w:lang w:val="de-DE"/>
              </w:rPr>
            </w:pPr>
            <w:r>
              <w:rPr>
                <w:rFonts w:ascii="Times New Roman" w:hAnsi="Times New Roman" w:cs="Times New Roman"/>
                <w:lang w:val="de-DE"/>
              </w:rPr>
              <w:t>- Thường trực HĐND tỉnh;</w:t>
            </w:r>
          </w:p>
          <w:p>
            <w:pPr>
              <w:widowControl w:val="0"/>
              <w:spacing w:after="0" w:line="240" w:lineRule="auto"/>
              <w:jc w:val="both"/>
              <w:rPr>
                <w:rFonts w:ascii="Times New Roman" w:hAnsi="Times New Roman" w:cs="Times New Roman"/>
              </w:rPr>
            </w:pPr>
            <w:r>
              <w:rPr>
                <w:rFonts w:ascii="Times New Roman" w:hAnsi="Times New Roman" w:cs="Times New Roman"/>
              </w:rPr>
              <w:t>- Chủ tịch, các PCT UBND tỉnh;</w:t>
            </w:r>
          </w:p>
          <w:p>
            <w:pPr>
              <w:widowControl w:val="0"/>
              <w:spacing w:after="0" w:line="240" w:lineRule="auto"/>
              <w:jc w:val="both"/>
              <w:rPr>
                <w:rFonts w:ascii="Times New Roman" w:hAnsi="Times New Roman" w:cs="Times New Roman"/>
              </w:rPr>
            </w:pPr>
            <w:r>
              <w:rPr>
                <w:rFonts w:ascii="Times New Roman" w:hAnsi="Times New Roman" w:cs="Times New Roman"/>
              </w:rPr>
              <w:t>- Các vị đại biểu HĐND tỉnh;</w:t>
            </w:r>
          </w:p>
          <w:p>
            <w:pPr>
              <w:widowControl w:val="0"/>
              <w:spacing w:after="0" w:line="240" w:lineRule="auto"/>
              <w:jc w:val="both"/>
              <w:rPr>
                <w:rFonts w:ascii="Times New Roman" w:hAnsi="Times New Roman" w:cs="Times New Roman"/>
              </w:rPr>
            </w:pPr>
            <w:r>
              <w:rPr>
                <w:rFonts w:ascii="Times New Roman" w:hAnsi="Times New Roman" w:cs="Times New Roman"/>
              </w:rPr>
              <w:t>- Ban Pháp chế HĐND tỉnh;</w:t>
            </w:r>
          </w:p>
          <w:p>
            <w:pPr>
              <w:widowControl w:val="0"/>
              <w:spacing w:after="0" w:line="240" w:lineRule="auto"/>
              <w:jc w:val="both"/>
              <w:rPr>
                <w:rFonts w:ascii="Times New Roman" w:hAnsi="Times New Roman" w:cs="Times New Roman"/>
              </w:rPr>
            </w:pPr>
            <w:r>
              <w:rPr>
                <w:rFonts w:ascii="Times New Roman" w:hAnsi="Times New Roman" w:cs="Times New Roman"/>
              </w:rPr>
              <w:t>- Văn phòng Đoàn ĐBQH và HĐND tỉnh;</w:t>
            </w:r>
          </w:p>
          <w:p>
            <w:pPr>
              <w:widowControl w:val="0"/>
              <w:spacing w:after="0" w:line="240" w:lineRule="auto"/>
              <w:jc w:val="both"/>
              <w:rPr>
                <w:rFonts w:ascii="Times New Roman" w:hAnsi="Times New Roman" w:cs="Times New Roman"/>
              </w:rPr>
            </w:pPr>
            <w:r>
              <w:rPr>
                <w:rFonts w:ascii="Times New Roman" w:hAnsi="Times New Roman" w:cs="Times New Roman"/>
              </w:rPr>
              <w:t>- Thanh tra tỉnh;</w:t>
            </w:r>
          </w:p>
          <w:p>
            <w:pPr>
              <w:widowControl w:val="0"/>
              <w:spacing w:after="0" w:line="240" w:lineRule="auto"/>
              <w:jc w:val="both"/>
              <w:rPr>
                <w:rFonts w:ascii="Times New Roman" w:hAnsi="Times New Roman" w:cs="Times New Roman"/>
              </w:rPr>
            </w:pPr>
            <w:r>
              <w:rPr>
                <w:rFonts w:ascii="Times New Roman" w:hAnsi="Times New Roman" w:cs="Times New Roman"/>
              </w:rPr>
              <w:t>- Chánh VP, các PCVP UBND tỉnh;</w:t>
            </w:r>
          </w:p>
          <w:p>
            <w:pPr>
              <w:spacing w:line="240" w:lineRule="auto"/>
            </w:pPr>
            <w:r>
              <w:rPr>
                <w:rFonts w:ascii="Times New Roman" w:hAnsi="Times New Roman" w:cs="Times New Roman"/>
              </w:rPr>
              <w:t>- Lưu: VT, TCD, TH, NC</w:t>
            </w:r>
            <w:r>
              <w:rPr>
                <w:rFonts w:ascii="Times New Roman" w:hAnsi="Times New Roman" w:cs="Times New Roman"/>
                <w:lang w:val="vi-VN"/>
              </w:rPr>
              <w:t>.</w:t>
            </w:r>
          </w:p>
        </w:tc>
        <w:tc>
          <w:tcPr>
            <w:tcW w:w="4678" w:type="dxa"/>
          </w:tcPr>
          <w:p>
            <w:pPr>
              <w:widowControl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TM. ỦY BAN NHÂN DÂN</w:t>
            </w:r>
          </w:p>
          <w:p>
            <w:pPr>
              <w:widowControl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KT. CHỦ TỊCH</w:t>
            </w:r>
          </w:p>
          <w:p>
            <w:pPr>
              <w:widowControl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PHÓ CHỦ TỊCH</w:t>
            </w:r>
          </w:p>
          <w:p>
            <w:pPr>
              <w:widowControl w:val="0"/>
              <w:spacing w:after="0" w:line="240" w:lineRule="auto"/>
              <w:jc w:val="center"/>
              <w:rPr>
                <w:rFonts w:ascii="Times New Roman" w:hAnsi="Times New Roman" w:cs="Times New Roman"/>
                <w:b/>
                <w:sz w:val="26"/>
                <w:szCs w:val="26"/>
              </w:rPr>
            </w:pPr>
          </w:p>
          <w:p>
            <w:pPr>
              <w:widowControl w:val="0"/>
              <w:spacing w:after="0" w:line="240" w:lineRule="auto"/>
              <w:jc w:val="center"/>
              <w:rPr>
                <w:rFonts w:ascii="Times New Roman" w:hAnsi="Times New Roman" w:cs="Times New Roman"/>
                <w:b/>
                <w:sz w:val="26"/>
                <w:szCs w:val="26"/>
              </w:rPr>
            </w:pPr>
          </w:p>
          <w:p>
            <w:pPr>
              <w:widowControl w:val="0"/>
              <w:spacing w:after="0" w:line="240" w:lineRule="auto"/>
              <w:jc w:val="center"/>
              <w:rPr>
                <w:rFonts w:ascii="Times New Roman" w:hAnsi="Times New Roman" w:cs="Times New Roman"/>
                <w:b/>
                <w:sz w:val="26"/>
                <w:szCs w:val="26"/>
              </w:rPr>
            </w:pPr>
          </w:p>
          <w:p>
            <w:pPr>
              <w:widowControl w:val="0"/>
              <w:spacing w:after="0" w:line="240" w:lineRule="auto"/>
              <w:jc w:val="center"/>
              <w:rPr>
                <w:rFonts w:ascii="Times New Roman" w:hAnsi="Times New Roman" w:cs="Times New Roman"/>
                <w:b/>
                <w:sz w:val="26"/>
                <w:szCs w:val="26"/>
              </w:rPr>
            </w:pPr>
          </w:p>
          <w:p>
            <w:pPr>
              <w:widowControl w:val="0"/>
              <w:spacing w:after="0" w:line="240" w:lineRule="auto"/>
              <w:jc w:val="center"/>
              <w:rPr>
                <w:rFonts w:ascii="Times New Roman" w:hAnsi="Times New Roman" w:cs="Times New Roman"/>
                <w:b/>
                <w:sz w:val="26"/>
                <w:szCs w:val="26"/>
              </w:rPr>
            </w:pPr>
          </w:p>
          <w:p>
            <w:pPr>
              <w:widowControl w:val="0"/>
              <w:spacing w:after="0" w:line="240" w:lineRule="auto"/>
              <w:jc w:val="center"/>
              <w:rPr>
                <w:rFonts w:ascii="Times New Roman" w:hAnsi="Times New Roman" w:cs="Times New Roman"/>
                <w:b/>
                <w:sz w:val="20"/>
                <w:szCs w:val="26"/>
              </w:rPr>
            </w:pPr>
          </w:p>
          <w:p>
            <w:pPr>
              <w:widowControl w:val="0"/>
              <w:spacing w:after="0" w:line="240" w:lineRule="auto"/>
              <w:jc w:val="center"/>
              <w:rPr>
                <w:rFonts w:ascii="Times New Roman" w:hAnsi="Times New Roman" w:cs="Times New Roman"/>
                <w:b/>
                <w:sz w:val="16"/>
                <w:szCs w:val="26"/>
              </w:rPr>
            </w:pPr>
          </w:p>
          <w:p>
            <w:pPr>
              <w:widowControl w:val="0"/>
              <w:spacing w:after="0" w:line="240" w:lineRule="auto"/>
              <w:jc w:val="center"/>
            </w:pPr>
            <w:r>
              <w:rPr>
                <w:rFonts w:ascii="Times New Roman" w:hAnsi="Times New Roman" w:cs="Times New Roman"/>
                <w:b/>
                <w:sz w:val="28"/>
                <w:szCs w:val="28"/>
              </w:rPr>
              <w:t>Nguyễn Hồng Lĩnh</w:t>
            </w:r>
          </w:p>
        </w:tc>
      </w:tr>
    </w:tbl>
    <w:p>
      <w:pPr>
        <w:spacing w:line="240" w:lineRule="auto"/>
        <w:rPr>
          <w:sz w:val="8"/>
        </w:rPr>
      </w:pPr>
    </w:p>
    <w:p>
      <w:pPr>
        <w:spacing w:line="240" w:lineRule="auto"/>
        <w:rPr>
          <w:sz w:val="8"/>
        </w:rPr>
      </w:pPr>
    </w:p>
    <w:p>
      <w:pPr>
        <w:spacing w:line="240" w:lineRule="auto"/>
        <w:rPr>
          <w:sz w:val="8"/>
        </w:rPr>
      </w:pPr>
    </w:p>
    <w:p>
      <w:pPr>
        <w:spacing w:line="240" w:lineRule="auto"/>
        <w:rPr>
          <w:sz w:val="8"/>
        </w:rPr>
      </w:pPr>
    </w:p>
    <w:p>
      <w:pPr>
        <w:spacing w:line="240" w:lineRule="auto"/>
        <w:rPr>
          <w:sz w:val="8"/>
        </w:rPr>
      </w:pPr>
    </w:p>
    <w:p>
      <w:pPr>
        <w:spacing w:line="240" w:lineRule="auto"/>
        <w:rPr>
          <w:sz w:val="8"/>
        </w:rPr>
      </w:pPr>
    </w:p>
    <w:p>
      <w:pPr>
        <w:spacing w:line="240" w:lineRule="auto"/>
        <w:rPr>
          <w:sz w:val="8"/>
        </w:rPr>
      </w:pPr>
    </w:p>
    <w:p>
      <w:pPr>
        <w:spacing w:line="240" w:lineRule="auto"/>
        <w:rPr>
          <w:sz w:val="8"/>
        </w:rPr>
      </w:pPr>
    </w:p>
    <w:p>
      <w:pPr>
        <w:spacing w:line="240" w:lineRule="auto"/>
        <w:rPr>
          <w:sz w:val="8"/>
        </w:rPr>
      </w:pPr>
    </w:p>
    <w:p>
      <w:pPr>
        <w:spacing w:line="240" w:lineRule="auto"/>
        <w:rPr>
          <w:sz w:val="8"/>
        </w:rPr>
      </w:pPr>
    </w:p>
    <w:p>
      <w:pPr>
        <w:spacing w:line="240" w:lineRule="auto"/>
        <w:rPr>
          <w:sz w:val="8"/>
        </w:rPr>
      </w:pPr>
    </w:p>
    <w:p>
      <w:pPr>
        <w:spacing w:line="240" w:lineRule="auto"/>
        <w:rPr>
          <w:sz w:val="8"/>
        </w:rPr>
      </w:pPr>
    </w:p>
    <w:p>
      <w:pPr>
        <w:spacing w:line="240" w:lineRule="auto"/>
        <w:rPr>
          <w:sz w:val="8"/>
        </w:rPr>
      </w:pPr>
    </w:p>
    <w:p>
      <w:pPr>
        <w:spacing w:line="240" w:lineRule="auto"/>
        <w:rPr>
          <w:sz w:val="8"/>
        </w:rPr>
      </w:pPr>
    </w:p>
    <w:p>
      <w:pPr>
        <w:spacing w:line="240" w:lineRule="auto"/>
        <w:rPr>
          <w:sz w:val="8"/>
        </w:rPr>
      </w:pPr>
    </w:p>
    <w:p>
      <w:pPr>
        <w:spacing w:line="240" w:lineRule="auto"/>
        <w:rPr>
          <w:sz w:val="8"/>
        </w:rPr>
      </w:pPr>
    </w:p>
    <w:p>
      <w:pPr>
        <w:spacing w:line="240" w:lineRule="auto"/>
        <w:rPr>
          <w:sz w:val="8"/>
        </w:rPr>
      </w:pPr>
    </w:p>
    <w:p>
      <w:pPr>
        <w:spacing w:line="240" w:lineRule="auto"/>
        <w:rPr>
          <w:sz w:val="8"/>
        </w:rPr>
      </w:pPr>
    </w:p>
    <w:p>
      <w:pPr>
        <w:spacing w:line="240" w:lineRule="auto"/>
        <w:rPr>
          <w:sz w:val="8"/>
        </w:rPr>
      </w:pPr>
    </w:p>
    <w:p>
      <w:pPr>
        <w:spacing w:line="240" w:lineRule="auto"/>
        <w:rPr>
          <w:sz w:val="8"/>
        </w:rPr>
      </w:pPr>
    </w:p>
    <w:p>
      <w:pPr>
        <w:spacing w:line="240" w:lineRule="auto"/>
        <w:rPr>
          <w:sz w:val="8"/>
        </w:rPr>
      </w:pPr>
    </w:p>
    <w:p>
      <w:pPr>
        <w:spacing w:line="240" w:lineRule="auto"/>
        <w:rPr>
          <w:sz w:val="8"/>
        </w:rPr>
      </w:pPr>
    </w:p>
    <w:p>
      <w:pPr>
        <w:spacing w:line="240" w:lineRule="auto"/>
        <w:rPr>
          <w:sz w:val="8"/>
        </w:rPr>
      </w:pPr>
    </w:p>
    <w:p>
      <w:pPr>
        <w:spacing w:line="240" w:lineRule="auto"/>
        <w:rPr>
          <w:sz w:val="8"/>
        </w:rPr>
      </w:pPr>
    </w:p>
    <w:p>
      <w:pPr>
        <w:spacing w:line="240" w:lineRule="auto"/>
        <w:rPr>
          <w:sz w:val="8"/>
        </w:rPr>
      </w:pPr>
    </w:p>
    <w:p>
      <w:pPr>
        <w:spacing w:line="240" w:lineRule="auto"/>
        <w:rPr>
          <w:sz w:val="8"/>
        </w:rPr>
        <w:sectPr>
          <w:headerReference w:type="default" r:id="rId9"/>
          <w:footerReference w:type="default" r:id="rId10"/>
          <w:headerReference w:type="first" r:id="rId11"/>
          <w:pgSz w:w="11907" w:h="16840" w:code="9"/>
          <w:pgMar w:top="1021" w:right="1077" w:bottom="1021" w:left="1644" w:header="567" w:footer="167" w:gutter="0"/>
          <w:cols w:space="720"/>
          <w:titlePg/>
          <w:docGrid w:linePitch="381"/>
        </w:sectPr>
      </w:pPr>
    </w:p>
    <w:p>
      <w:pPr>
        <w:tabs>
          <w:tab w:val="left" w:pos="6684"/>
          <w:tab w:val="center" w:pos="7646"/>
        </w:tabs>
        <w:spacing w:after="0" w:line="240" w:lineRule="auto"/>
        <w:jc w:val="center"/>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t xml:space="preserve">PHỤ LỤC </w:t>
      </w:r>
    </w:p>
    <w:p>
      <w:pPr>
        <w:spacing w:after="0" w:line="240" w:lineRule="auto"/>
        <w:ind w:firstLine="720"/>
        <w:jc w:val="center"/>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t>Kết quả giải quyết các vụ việc KNTC đông người, phức tạp, kéo dài của người đứng đầu cấp ủy</w:t>
      </w:r>
    </w:p>
    <w:p>
      <w:pPr>
        <w:spacing w:after="0" w:line="240" w:lineRule="auto"/>
        <w:ind w:firstLine="720"/>
        <w:jc w:val="center"/>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t xml:space="preserve"> và các cơ quan,</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vi-VN"/>
        </w:rPr>
        <w:t>đơn vị có trách nhiệm tiếp công dân, giải quyết KNTC</w:t>
      </w:r>
    </w:p>
    <w:p>
      <w:pPr>
        <w:spacing w:before="120" w:after="0" w:line="240" w:lineRule="auto"/>
        <w:ind w:firstLine="720"/>
        <w:jc w:val="center"/>
        <w:rPr>
          <w:rFonts w:ascii="Times New Roman" w:eastAsia="Times New Roman" w:hAnsi="Times New Roman" w:cs="Times New Roman"/>
          <w:b/>
          <w:sz w:val="26"/>
          <w:szCs w:val="26"/>
          <w:vertAlign w:val="superscript"/>
          <w:lang w:val="vi-VN"/>
        </w:rPr>
      </w:pPr>
      <w:r>
        <w:rPr>
          <w:rFonts w:ascii="Times New Roman" w:eastAsia="Times New Roman" w:hAnsi="Times New Roman" w:cs="Times New Roman"/>
          <w:i/>
          <w:sz w:val="28"/>
          <w:szCs w:val="28"/>
          <w:lang w:val="vi-VN"/>
        </w:rPr>
        <w:t xml:space="preserve">  (</w:t>
      </w:r>
      <w:r>
        <w:rPr>
          <w:rFonts w:ascii="Times New Roman" w:eastAsia="Times New Roman" w:hAnsi="Times New Roman" w:cs="Times New Roman"/>
          <w:i/>
          <w:sz w:val="28"/>
          <w:szCs w:val="28"/>
        </w:rPr>
        <w:t>K</w:t>
      </w:r>
      <w:r>
        <w:rPr>
          <w:rFonts w:ascii="Times New Roman" w:eastAsia="Times New Roman" w:hAnsi="Times New Roman" w:cs="Times New Roman"/>
          <w:i/>
          <w:sz w:val="28"/>
          <w:szCs w:val="28"/>
          <w:lang w:val="vi-VN"/>
        </w:rPr>
        <w:t xml:space="preserve">èm theo </w:t>
      </w:r>
      <w:r>
        <w:rPr>
          <w:rFonts w:ascii="Times New Roman" w:eastAsia="Times New Roman" w:hAnsi="Times New Roman" w:cs="Times New Roman"/>
          <w:bCs/>
          <w:i/>
          <w:noProof/>
          <w:sz w:val="28"/>
          <w:szCs w:val="28"/>
        </w:rPr>
        <w:t>Báo cáo số:             /BC-UBND  ngày      /6/2025  của UBND tỉnh</w:t>
      </w:r>
      <w:r>
        <w:rPr>
          <w:rFonts w:ascii="Times New Roman" w:eastAsia="Times New Roman" w:hAnsi="Times New Roman" w:cs="Times New Roman"/>
          <w:bCs/>
          <w:i/>
          <w:noProof/>
          <w:sz w:val="28"/>
          <w:szCs w:val="28"/>
          <w:lang w:val="vi-VN"/>
        </w:rPr>
        <w:t>)</w:t>
      </w:r>
      <w:r>
        <w:rPr>
          <w:rFonts w:ascii="Times New Roman" w:eastAsia="Times New Roman" w:hAnsi="Times New Roman" w:cs="Times New Roman"/>
          <w:b/>
          <w:sz w:val="26"/>
          <w:szCs w:val="26"/>
          <w:vertAlign w:val="superscript"/>
          <w:lang w:val="vi-VN"/>
        </w:rPr>
        <w:t xml:space="preserve"> </w:t>
      </w:r>
    </w:p>
    <w:p>
      <w:pPr>
        <w:spacing w:after="0" w:line="240" w:lineRule="auto"/>
        <w:rPr>
          <w:rFonts w:ascii="Times New Roman" w:eastAsia="Times New Roman" w:hAnsi="Times New Roman" w:cs="Times New Roman"/>
          <w:b/>
          <w:sz w:val="24"/>
          <w:szCs w:val="24"/>
        </w:rPr>
      </w:pPr>
    </w:p>
    <w:tbl>
      <w:tblPr>
        <w:tblW w:w="154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43"/>
        <w:gridCol w:w="3473"/>
        <w:gridCol w:w="710"/>
        <w:gridCol w:w="6492"/>
        <w:gridCol w:w="3969"/>
      </w:tblGrid>
      <w:tr>
        <w:tc>
          <w:tcPr>
            <w:tcW w:w="736" w:type="dxa"/>
            <w:vAlign w:val="center"/>
          </w:tcPr>
          <w:p>
            <w:pPr>
              <w:spacing w:before="40" w:after="40" w:line="240" w:lineRule="auto"/>
              <w:jc w:val="center"/>
              <w:rPr>
                <w:rFonts w:ascii="Times New Roman" w:eastAsia="Times New Roman" w:hAnsi="Times New Roman" w:cs="Times New Roman"/>
                <w:b/>
                <w:spacing w:val="-4"/>
                <w:sz w:val="24"/>
                <w:szCs w:val="24"/>
              </w:rPr>
            </w:pPr>
            <w:r>
              <w:rPr>
                <w:rFonts w:ascii="Times New Roman" w:eastAsia="Times New Roman" w:hAnsi="Times New Roman" w:cs="Times New Roman"/>
                <w:b/>
                <w:spacing w:val="-4"/>
                <w:sz w:val="24"/>
                <w:szCs w:val="24"/>
                <w:lang w:val="vi-VN"/>
              </w:rPr>
              <w:t>STT</w:t>
            </w:r>
          </w:p>
        </w:tc>
        <w:tc>
          <w:tcPr>
            <w:tcW w:w="3516" w:type="dxa"/>
            <w:gridSpan w:val="2"/>
            <w:vAlign w:val="center"/>
          </w:tcPr>
          <w:p>
            <w:pPr>
              <w:spacing w:before="40" w:after="40" w:line="240" w:lineRule="auto"/>
              <w:jc w:val="center"/>
              <w:rPr>
                <w:rFonts w:ascii="Times New Roman" w:eastAsia="Times New Roman" w:hAnsi="Times New Roman" w:cs="Times New Roman"/>
                <w:b/>
                <w:spacing w:val="-4"/>
                <w:sz w:val="24"/>
                <w:szCs w:val="24"/>
                <w:lang w:val="vi-VN"/>
              </w:rPr>
            </w:pPr>
            <w:r>
              <w:rPr>
                <w:rFonts w:ascii="Times New Roman" w:eastAsia="Times New Roman" w:hAnsi="Times New Roman" w:cs="Times New Roman"/>
                <w:b/>
                <w:spacing w:val="-4"/>
                <w:sz w:val="24"/>
                <w:szCs w:val="24"/>
                <w:lang w:val="vi-VN"/>
              </w:rPr>
              <w:t>Tóm tắt nội dung vụ việc</w:t>
            </w:r>
          </w:p>
        </w:tc>
        <w:tc>
          <w:tcPr>
            <w:tcW w:w="710" w:type="dxa"/>
            <w:vAlign w:val="center"/>
          </w:tcPr>
          <w:p>
            <w:pPr>
              <w:spacing w:before="40" w:after="40" w:line="240" w:lineRule="auto"/>
              <w:jc w:val="center"/>
              <w:rPr>
                <w:rFonts w:ascii="Times New Roman" w:eastAsia="Times New Roman" w:hAnsi="Times New Roman" w:cs="Times New Roman"/>
                <w:b/>
                <w:spacing w:val="-4"/>
                <w:sz w:val="24"/>
                <w:szCs w:val="24"/>
                <w:lang w:val="vi-VN"/>
              </w:rPr>
            </w:pPr>
            <w:r>
              <w:rPr>
                <w:rFonts w:ascii="Times New Roman" w:eastAsia="Times New Roman" w:hAnsi="Times New Roman" w:cs="Times New Roman"/>
                <w:b/>
                <w:spacing w:val="-4"/>
                <w:sz w:val="24"/>
                <w:szCs w:val="24"/>
                <w:lang w:val="vi-VN"/>
              </w:rPr>
              <w:t>Thời gian thụ lý</w:t>
            </w:r>
          </w:p>
        </w:tc>
        <w:tc>
          <w:tcPr>
            <w:tcW w:w="6492" w:type="dxa"/>
            <w:vAlign w:val="center"/>
          </w:tcPr>
          <w:p>
            <w:pPr>
              <w:spacing w:before="40" w:after="40" w:line="240" w:lineRule="auto"/>
              <w:ind w:firstLine="288"/>
              <w:jc w:val="center"/>
              <w:rPr>
                <w:rFonts w:ascii="Times New Roman" w:eastAsia="Times New Roman" w:hAnsi="Times New Roman" w:cs="Times New Roman"/>
                <w:b/>
                <w:spacing w:val="-4"/>
                <w:sz w:val="24"/>
                <w:szCs w:val="24"/>
                <w:lang w:val="vi-VN"/>
              </w:rPr>
            </w:pPr>
            <w:r>
              <w:rPr>
                <w:rFonts w:ascii="Times New Roman" w:eastAsia="Times New Roman" w:hAnsi="Times New Roman" w:cs="Times New Roman"/>
                <w:b/>
                <w:spacing w:val="-4"/>
                <w:sz w:val="24"/>
                <w:szCs w:val="24"/>
                <w:lang w:val="vi-VN"/>
              </w:rPr>
              <w:t>Tóm tắt kết quả đã giải quyết</w:t>
            </w:r>
          </w:p>
        </w:tc>
        <w:tc>
          <w:tcPr>
            <w:tcW w:w="3969" w:type="dxa"/>
            <w:vAlign w:val="center"/>
          </w:tcPr>
          <w:p>
            <w:pPr>
              <w:spacing w:before="40" w:after="40" w:line="240" w:lineRule="auto"/>
              <w:jc w:val="center"/>
              <w:rPr>
                <w:rFonts w:ascii="Times New Roman" w:eastAsia="Times New Roman" w:hAnsi="Times New Roman" w:cs="Times New Roman"/>
                <w:b/>
                <w:spacing w:val="-4"/>
                <w:sz w:val="24"/>
                <w:szCs w:val="24"/>
                <w:lang w:val="vi-VN"/>
              </w:rPr>
            </w:pPr>
            <w:r>
              <w:rPr>
                <w:rFonts w:ascii="Times New Roman" w:eastAsia="Times New Roman" w:hAnsi="Times New Roman" w:cs="Times New Roman"/>
                <w:b/>
                <w:spacing w:val="-4"/>
                <w:sz w:val="24"/>
                <w:szCs w:val="24"/>
                <w:lang w:val="vi-VN"/>
              </w:rPr>
              <w:t>Ghi chú</w:t>
            </w:r>
          </w:p>
        </w:tc>
      </w:tr>
      <w:tr>
        <w:tc>
          <w:tcPr>
            <w:tcW w:w="736" w:type="dxa"/>
            <w:vAlign w:val="center"/>
          </w:tcPr>
          <w:p>
            <w:pPr>
              <w:spacing w:before="40" w:after="40" w:line="240" w:lineRule="auto"/>
              <w:jc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1</w:t>
            </w:r>
          </w:p>
        </w:tc>
        <w:tc>
          <w:tcPr>
            <w:tcW w:w="14687" w:type="dxa"/>
            <w:gridSpan w:val="5"/>
            <w:vAlign w:val="center"/>
          </w:tcPr>
          <w:p>
            <w:pPr>
              <w:spacing w:before="40" w:after="40" w:line="240" w:lineRule="auto"/>
              <w:ind w:firstLine="288"/>
              <w:rPr>
                <w:rFonts w:ascii="Times New Roman" w:eastAsia="Times New Roman" w:hAnsi="Times New Roman" w:cs="Times New Roman"/>
                <w:b/>
                <w:spacing w:val="-4"/>
                <w:sz w:val="24"/>
                <w:szCs w:val="24"/>
              </w:rPr>
            </w:pPr>
            <w:r>
              <w:rPr>
                <w:rFonts w:ascii="Times New Roman" w:eastAsia="Times New Roman" w:hAnsi="Times New Roman" w:cs="Times New Roman"/>
                <w:b/>
                <w:spacing w:val="-4"/>
                <w:sz w:val="24"/>
                <w:szCs w:val="24"/>
                <w:lang w:val="vi-VN"/>
              </w:rPr>
              <w:t>Số vụ việc KN</w:t>
            </w:r>
            <w:r>
              <w:rPr>
                <w:rFonts w:ascii="Times New Roman" w:eastAsia="Times New Roman" w:hAnsi="Times New Roman" w:cs="Times New Roman"/>
                <w:b/>
                <w:spacing w:val="-4"/>
                <w:sz w:val="24"/>
                <w:szCs w:val="24"/>
              </w:rPr>
              <w:t>TC</w:t>
            </w:r>
            <w:r>
              <w:rPr>
                <w:rFonts w:ascii="Times New Roman" w:eastAsia="Times New Roman" w:hAnsi="Times New Roman" w:cs="Times New Roman"/>
                <w:b/>
                <w:spacing w:val="-4"/>
                <w:sz w:val="24"/>
                <w:szCs w:val="24"/>
                <w:lang w:val="vi-VN"/>
              </w:rPr>
              <w:t xml:space="preserve"> đông người, phức tạp, kéo dài </w:t>
            </w:r>
            <w:r>
              <w:rPr>
                <w:rFonts w:ascii="Times New Roman" w:eastAsia="Times New Roman" w:hAnsi="Times New Roman" w:cs="Times New Roman"/>
                <w:b/>
                <w:spacing w:val="-4"/>
                <w:sz w:val="24"/>
                <w:szCs w:val="24"/>
              </w:rPr>
              <w:t xml:space="preserve"> theo kế hoạch rà soát của Thanh tra Chính phủ đang được giải quyết</w:t>
            </w:r>
          </w:p>
        </w:tc>
      </w:tr>
      <w:tr>
        <w:tc>
          <w:tcPr>
            <w:tcW w:w="736" w:type="dxa"/>
            <w:vAlign w:val="center"/>
          </w:tcPr>
          <w:p>
            <w:pPr>
              <w:spacing w:before="40" w:after="40" w:line="240" w:lineRule="auto"/>
              <w:jc w:val="center"/>
              <w:rPr>
                <w:rFonts w:ascii="Times New Roman" w:eastAsia="Times New Roman" w:hAnsi="Times New Roman" w:cs="Times New Roman"/>
                <w:spacing w:val="-4"/>
                <w:sz w:val="24"/>
                <w:szCs w:val="24"/>
                <w:lang w:val="vi-VN"/>
              </w:rPr>
            </w:pPr>
            <w:r>
              <w:rPr>
                <w:rFonts w:ascii="Times New Roman" w:eastAsia="Times New Roman" w:hAnsi="Times New Roman" w:cs="Times New Roman"/>
                <w:spacing w:val="-4"/>
                <w:sz w:val="24"/>
                <w:szCs w:val="24"/>
              </w:rPr>
              <w:t>1.</w:t>
            </w:r>
            <w:r>
              <w:rPr>
                <w:rFonts w:ascii="Times New Roman" w:eastAsia="Times New Roman" w:hAnsi="Times New Roman" w:cs="Times New Roman"/>
                <w:spacing w:val="-4"/>
                <w:sz w:val="24"/>
                <w:szCs w:val="24"/>
                <w:lang w:val="vi-VN"/>
              </w:rPr>
              <w:t>1</w:t>
            </w:r>
          </w:p>
        </w:tc>
        <w:tc>
          <w:tcPr>
            <w:tcW w:w="3516" w:type="dxa"/>
            <w:gridSpan w:val="2"/>
            <w:vAlign w:val="center"/>
          </w:tcPr>
          <w:p>
            <w:pPr>
              <w:spacing w:before="40" w:after="40" w:line="240" w:lineRule="auto"/>
              <w:ind w:firstLine="261"/>
              <w:jc w:val="both"/>
              <w:rPr>
                <w:rFonts w:ascii="Times New Roman" w:eastAsia="Times New Roman" w:hAnsi="Times New Roman" w:cs="Times New Roman"/>
                <w:spacing w:val="-4"/>
                <w:sz w:val="24"/>
                <w:szCs w:val="24"/>
              </w:rPr>
            </w:pPr>
            <w:r>
              <w:rPr>
                <w:rFonts w:ascii="Times New Roman" w:eastAsia="Calibri" w:hAnsi="Times New Roman" w:cs="Times New Roman"/>
                <w:spacing w:val="-4"/>
                <w:sz w:val="24"/>
                <w:szCs w:val="24"/>
              </w:rPr>
              <w:t>Việc xử lý kiến nghị của một số hộ dân tại các phường: Kỳ Phương, Kỳ Long, Kỳ Liên, Kỳ Thịnh, Kỳ Trinh và xã Kỳ Nam, Kỳ Lợi thuộc thị xã Kỳ Anh về giá đất tại các khu tái định cư (tồn đọng 604 hộ tái định cư)</w:t>
            </w:r>
          </w:p>
        </w:tc>
        <w:tc>
          <w:tcPr>
            <w:tcW w:w="710" w:type="dxa"/>
          </w:tcPr>
          <w:p>
            <w:pPr>
              <w:spacing w:before="40" w:after="40" w:line="240" w:lineRule="auto"/>
              <w:rPr>
                <w:rFonts w:ascii="Times New Roman" w:eastAsia="Times New Roman" w:hAnsi="Times New Roman" w:cs="Times New Roman"/>
                <w:spacing w:val="-4"/>
                <w:sz w:val="24"/>
                <w:szCs w:val="24"/>
              </w:rPr>
            </w:pPr>
          </w:p>
        </w:tc>
        <w:tc>
          <w:tcPr>
            <w:tcW w:w="6492" w:type="dxa"/>
          </w:tcPr>
          <w:p>
            <w:pPr>
              <w:autoSpaceDE w:val="0"/>
              <w:autoSpaceDN w:val="0"/>
              <w:adjustRightInd w:val="0"/>
              <w:spacing w:before="40" w:after="40" w:line="240" w:lineRule="auto"/>
              <w:ind w:firstLine="288"/>
              <w:jc w:val="both"/>
              <w:rPr>
                <w:rFonts w:ascii="Times New Roman" w:eastAsia="Calibri" w:hAnsi="Times New Roman" w:cs="Times New Roman"/>
                <w:bCs/>
                <w:spacing w:val="-4"/>
                <w:sz w:val="24"/>
                <w:szCs w:val="24"/>
                <w:lang w:val="de-DE"/>
              </w:rPr>
            </w:pPr>
            <w:r>
              <w:rPr>
                <w:rFonts w:ascii="Times New Roman" w:eastAsia="Calibri" w:hAnsi="Times New Roman" w:cs="Times New Roman"/>
                <w:bCs/>
                <w:spacing w:val="-4"/>
                <w:sz w:val="24"/>
                <w:szCs w:val="24"/>
                <w:lang w:val="de-DE"/>
              </w:rPr>
              <w:t>Thực hiện chỉ đạo của UBND tỉnh tại Văn bản số 3511/UBND-NL2 ngày 13/6/2017 và Văn bản số 2230/UBND-N2 ngày 14/4/2021, UBND thị xã Kỳ Anh đã chỉ đạo các phòng, đơn vị có liên quan, UBND các xã, phường tiến hành kiểm tra rà soát, cấp GCNQSD đất cho các hộ gia đình, cá nhân, cụ thể: (1) không đủ điều kiện tái định cư: 123 trường hợp; (2) bị trùng tên 01 trường hợp nên đã loại ra; (3) có 05 trường hợp dừng xét tái định cư do dự án đã tạm dừng triển khai thực hiện (đường vào khu tái định cư Kỳ Long); (4) có 21 trường hợp nằm trong danh sách Kết luận 66/KL-UBND ngày 11/02/2015 của UBND tỉnh đang chờ xử lý theo nội dung Kết luận 66; (5) có 06 trường hợp có thời điểm kết hôn sau thời điểm thu hồi đất, phê duyệt kinh phí bồi thường tương tự như 32 trường hợp trong Kết luận 66; (6) có 01 trường hợp đã chết, UBND phường Kỳ Phương đã thông báo công khai nhưng không có ai kê khai nhận thừa kế; (7) có 03 trường hợp chưa nhận tiền bồi thường nên UBND thị xã thực hiện giao đất, thu tiền sử dụng đất tại thời điểm các hộ nhận tiền bồi thường hỗ trợ TĐC; (8) đã hoàn thành cấp GCNQSD đất cho 435 trường hợp;</w:t>
            </w:r>
          </w:p>
          <w:p>
            <w:pPr>
              <w:autoSpaceDE w:val="0"/>
              <w:autoSpaceDN w:val="0"/>
              <w:adjustRightInd w:val="0"/>
              <w:spacing w:before="40" w:after="40" w:line="240" w:lineRule="auto"/>
              <w:ind w:firstLine="288"/>
              <w:jc w:val="both"/>
              <w:rPr>
                <w:rFonts w:ascii="Times New Roman" w:eastAsia="Calibri" w:hAnsi="Times New Roman" w:cs="Times New Roman"/>
                <w:bCs/>
                <w:spacing w:val="-4"/>
                <w:sz w:val="24"/>
                <w:szCs w:val="24"/>
                <w:lang w:val="de-DE"/>
              </w:rPr>
            </w:pPr>
            <w:r>
              <w:rPr>
                <w:rFonts w:ascii="Times New Roman" w:eastAsia="Calibri" w:hAnsi="Times New Roman" w:cs="Times New Roman"/>
                <w:bCs/>
                <w:spacing w:val="-4"/>
                <w:sz w:val="24"/>
                <w:szCs w:val="24"/>
                <w:lang w:val="de-DE"/>
              </w:rPr>
              <w:t>Như vậy đến nay, chỉ còn 09 trường hợp tại phường Kỳ Thịnh do chưa có mặt bằng tái định cư nên chưa hoàn thành giao đất, cấp GCN QSD đất.</w:t>
            </w:r>
          </w:p>
        </w:tc>
        <w:tc>
          <w:tcPr>
            <w:tcW w:w="3969" w:type="dxa"/>
          </w:tcPr>
          <w:p>
            <w:pPr>
              <w:autoSpaceDE w:val="0"/>
              <w:autoSpaceDN w:val="0"/>
              <w:adjustRightInd w:val="0"/>
              <w:spacing w:before="40" w:after="40" w:line="240" w:lineRule="auto"/>
              <w:jc w:val="both"/>
              <w:rPr>
                <w:rFonts w:ascii="Times New Roman" w:eastAsia="Calibri" w:hAnsi="Times New Roman" w:cs="Times New Roman"/>
                <w:bCs/>
                <w:spacing w:val="-4"/>
                <w:sz w:val="24"/>
                <w:szCs w:val="24"/>
                <w:lang w:val="de-DE"/>
              </w:rPr>
            </w:pPr>
            <w:r>
              <w:rPr>
                <w:rFonts w:ascii="Times New Roman" w:eastAsia="Calibri" w:hAnsi="Times New Roman" w:cs="Times New Roman"/>
                <w:bCs/>
                <w:spacing w:val="-4"/>
                <w:sz w:val="24"/>
                <w:szCs w:val="24"/>
                <w:lang w:val="de-DE"/>
              </w:rPr>
              <w:t>Hiện nay, UBND tỉnh đang chỉ đạo Ban Quản lý dự án khu vực Khu kinh tế tỉnh hoàn thiện hạ tầng khu tái định cư Kỳ Thịnh để cấp đất cho các hộ dân theo quy định.</w:t>
            </w:r>
          </w:p>
          <w:p>
            <w:pPr>
              <w:spacing w:before="40" w:after="40" w:line="240" w:lineRule="auto"/>
              <w:ind w:firstLine="119"/>
              <w:rPr>
                <w:rFonts w:ascii="Times New Roman" w:eastAsia="Times New Roman" w:hAnsi="Times New Roman" w:cs="Times New Roman"/>
                <w:spacing w:val="-4"/>
                <w:sz w:val="24"/>
                <w:szCs w:val="24"/>
              </w:rPr>
            </w:pPr>
          </w:p>
        </w:tc>
      </w:tr>
      <w:tr>
        <w:trPr>
          <w:trHeight w:val="5946"/>
        </w:trPr>
        <w:tc>
          <w:tcPr>
            <w:tcW w:w="736" w:type="dxa"/>
            <w:vAlign w:val="center"/>
          </w:tcPr>
          <w:p>
            <w:pPr>
              <w:spacing w:before="40" w:after="40" w:line="240" w:lineRule="auto"/>
              <w:jc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1.2</w:t>
            </w:r>
          </w:p>
        </w:tc>
        <w:tc>
          <w:tcPr>
            <w:tcW w:w="3516" w:type="dxa"/>
            <w:gridSpan w:val="2"/>
            <w:vAlign w:val="center"/>
          </w:tcPr>
          <w:p>
            <w:pPr>
              <w:spacing w:before="40" w:after="40" w:line="240" w:lineRule="auto"/>
              <w:ind w:firstLine="261"/>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Việc xử lý kiến nghị của các hộ dân xã Kỳ Thượng, huyện Kỳ Anh liên quan đến bồi thường, hỗ trợ chuyển đổi nghề Dự án hồ chứa nước Rào Trổ thuộc Dự án cấp nước cho Khu kinh tế Vũng Áng</w:t>
            </w:r>
          </w:p>
        </w:tc>
        <w:tc>
          <w:tcPr>
            <w:tcW w:w="710" w:type="dxa"/>
          </w:tcPr>
          <w:p>
            <w:pPr>
              <w:spacing w:before="40" w:after="40" w:line="240" w:lineRule="auto"/>
              <w:rPr>
                <w:rFonts w:ascii="Times New Roman" w:eastAsia="Times New Roman" w:hAnsi="Times New Roman" w:cs="Times New Roman"/>
                <w:spacing w:val="-4"/>
                <w:sz w:val="24"/>
                <w:szCs w:val="24"/>
              </w:rPr>
            </w:pPr>
          </w:p>
        </w:tc>
        <w:tc>
          <w:tcPr>
            <w:tcW w:w="6492" w:type="dxa"/>
          </w:tcPr>
          <w:p>
            <w:pPr>
              <w:pBdr>
                <w:top w:val="dotted" w:sz="4" w:space="0" w:color="FFFFFF"/>
                <w:left w:val="dotted" w:sz="4" w:space="0" w:color="FFFFFF"/>
                <w:bottom w:val="dotted" w:sz="4" w:space="24" w:color="FFFFFF"/>
                <w:right w:val="dotted" w:sz="4" w:space="1" w:color="FFFFFF"/>
              </w:pBdr>
              <w:shd w:val="clear" w:color="auto" w:fill="FFFFFF"/>
              <w:tabs>
                <w:tab w:val="left" w:pos="8025"/>
              </w:tabs>
              <w:spacing w:before="40" w:after="40" w:line="240" w:lineRule="auto"/>
              <w:ind w:firstLine="288"/>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 xml:space="preserve">Ngày 22/9/2023, HĐND tỉnh đã ban hành Nghị quyết số 128/NQ-HĐND về việc bồi thường hỗ trợ tái định cư dự án xây dựng hệ thống cấp nước cho khu kinh tế Vũng Áng, tỉnh Hà Tĩnh; kết quả thực hiện đến nay như sau: </w:t>
            </w:r>
          </w:p>
          <w:p>
            <w:pPr>
              <w:pBdr>
                <w:top w:val="dotted" w:sz="4" w:space="0" w:color="FFFFFF"/>
                <w:left w:val="dotted" w:sz="4" w:space="0" w:color="FFFFFF"/>
                <w:bottom w:val="dotted" w:sz="4" w:space="24" w:color="FFFFFF"/>
                <w:right w:val="dotted" w:sz="4" w:space="1" w:color="FFFFFF"/>
              </w:pBdr>
              <w:shd w:val="clear" w:color="auto" w:fill="FFFFFF"/>
              <w:tabs>
                <w:tab w:val="left" w:pos="8025"/>
              </w:tabs>
              <w:spacing w:before="40" w:after="40" w:line="240" w:lineRule="auto"/>
              <w:ind w:firstLine="288"/>
              <w:jc w:val="both"/>
              <w:rPr>
                <w:rFonts w:ascii="Times New Roman" w:eastAsia="Aptos" w:hAnsi="Times New Roman" w:cs="Times New Roman"/>
                <w:spacing w:val="-4"/>
                <w:sz w:val="24"/>
                <w:szCs w:val="24"/>
              </w:rPr>
            </w:pPr>
            <w:r>
              <w:rPr>
                <w:rFonts w:ascii="Times New Roman" w:eastAsia="Calibri" w:hAnsi="Times New Roman" w:cs="Times New Roman"/>
                <w:spacing w:val="-4"/>
                <w:sz w:val="24"/>
                <w:szCs w:val="24"/>
              </w:rPr>
              <w:t xml:space="preserve">- Bồi thường, hỗ trợ, chuyển đổi nghề, tìm kiếm việc làm và ổn định đời sống sản xuất tại các thôn còn lại của xã Kỳ Tây và  bổ sung cho 05 xã (Kỳ Thượng, Lâm Hợp, Kỳ Sơn, Kỳ Lạc, Kỳ Tân). Phê duyệt Phương án bổ sung: Với </w:t>
            </w:r>
            <w:r>
              <w:rPr>
                <w:rFonts w:ascii="Times New Roman" w:eastAsia="Aptos" w:hAnsi="Times New Roman" w:cs="Times New Roman"/>
                <w:spacing w:val="-4"/>
                <w:sz w:val="24"/>
                <w:szCs w:val="24"/>
              </w:rPr>
              <w:t>Tổng diện tích đất hỗ trợ 255,10 ha, số lượt hộ ảnh hưởng 876 hộ, tổng kinh phí đã bố trí và chi trả</w:t>
            </w:r>
            <w:r>
              <w:rPr>
                <w:rFonts w:ascii="Times New Roman" w:eastAsia="Calibri" w:hAnsi="Times New Roman" w:cs="Times New Roman"/>
                <w:spacing w:val="-4"/>
                <w:sz w:val="24"/>
                <w:szCs w:val="24"/>
              </w:rPr>
              <w:t xml:space="preserve"> </w:t>
            </w:r>
            <w:r>
              <w:rPr>
                <w:rFonts w:ascii="Times New Roman" w:eastAsia="Aptos" w:hAnsi="Times New Roman" w:cs="Times New Roman"/>
                <w:spacing w:val="-4"/>
                <w:sz w:val="24"/>
                <w:szCs w:val="24"/>
              </w:rPr>
              <w:t>104.963.172.400 đồng.</w:t>
            </w:r>
          </w:p>
          <w:p>
            <w:pPr>
              <w:pBdr>
                <w:top w:val="dotted" w:sz="4" w:space="0" w:color="FFFFFF"/>
                <w:left w:val="dotted" w:sz="4" w:space="0" w:color="FFFFFF"/>
                <w:bottom w:val="dotted" w:sz="4" w:space="24" w:color="FFFFFF"/>
                <w:right w:val="dotted" w:sz="4" w:space="1" w:color="FFFFFF"/>
              </w:pBdr>
              <w:shd w:val="clear" w:color="auto" w:fill="FFFFFF"/>
              <w:tabs>
                <w:tab w:val="left" w:pos="8025"/>
              </w:tabs>
              <w:spacing w:before="40" w:after="40" w:line="240" w:lineRule="auto"/>
              <w:ind w:firstLine="288"/>
              <w:jc w:val="both"/>
              <w:rPr>
                <w:rFonts w:ascii="Times New Roman" w:eastAsia="Calibri" w:hAnsi="Times New Roman" w:cs="Times New Roman"/>
                <w:spacing w:val="-4"/>
                <w:sz w:val="24"/>
                <w:szCs w:val="24"/>
              </w:rPr>
            </w:pPr>
            <w:r>
              <w:rPr>
                <w:rFonts w:ascii="Times New Roman" w:eastAsia="Aptos" w:hAnsi="Times New Roman" w:cs="Times New Roman"/>
                <w:spacing w:val="-4"/>
                <w:sz w:val="24"/>
                <w:szCs w:val="24"/>
              </w:rPr>
              <w:t xml:space="preserve">- Đối với khối lượng công việc bồi thường còn lại, UBND huyện Kỳ Anh đã hoàn thiện hồ sơ, thủ tục liên quan đến bồi thường, GPMB, hỗ trợ của </w:t>
            </w:r>
            <w:r>
              <w:rPr>
                <w:rFonts w:ascii="Times New Roman" w:eastAsia="Calibri" w:hAnsi="Times New Roman" w:cs="Times New Roman"/>
                <w:spacing w:val="-4"/>
                <w:sz w:val="24"/>
                <w:szCs w:val="24"/>
              </w:rPr>
              <w:t>04 thôn thuộc xã Kỳ Tây thuộc hạng mục lòng hồ Rào Trổ.</w:t>
            </w:r>
          </w:p>
          <w:p>
            <w:pPr>
              <w:pBdr>
                <w:top w:val="dotted" w:sz="4" w:space="0" w:color="FFFFFF"/>
                <w:left w:val="dotted" w:sz="4" w:space="0" w:color="FFFFFF"/>
                <w:bottom w:val="dotted" w:sz="4" w:space="24" w:color="FFFFFF"/>
                <w:right w:val="dotted" w:sz="4" w:space="1" w:color="FFFFFF"/>
              </w:pBdr>
              <w:shd w:val="clear" w:color="auto" w:fill="FFFFFF"/>
              <w:tabs>
                <w:tab w:val="left" w:pos="8025"/>
              </w:tabs>
              <w:spacing w:before="40" w:after="40" w:line="240" w:lineRule="auto"/>
              <w:ind w:firstLine="288"/>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Tuy vậy, hiện nay Nghị quyết số 128/NQ-HĐND đã hết thời gian thực hiện, UBND tỉnh đang chỉ đạo các sở, ban, ngành, địa phương liên quan xử lý các tồn tại, vướng mắc liên quan đến dự án (trong đó, có cả xử lý các quỹ đất đã giải phóng mặt bằng nhưng hiện bị lấn chiếm sử dụng tại khu vực hồ Rào Trổ) tại Văn bản số 8144/UBND-NL</w:t>
            </w:r>
            <w:r>
              <w:rPr>
                <w:rFonts w:ascii="Times New Roman" w:eastAsia="Calibri" w:hAnsi="Times New Roman" w:cs="Times New Roman"/>
                <w:spacing w:val="-4"/>
                <w:sz w:val="24"/>
                <w:szCs w:val="24"/>
              </w:rPr>
              <w:softHyphen/>
            </w:r>
            <w:r>
              <w:rPr>
                <w:rFonts w:ascii="Times New Roman" w:eastAsia="Calibri" w:hAnsi="Times New Roman" w:cs="Times New Roman"/>
                <w:spacing w:val="-4"/>
                <w:sz w:val="24"/>
                <w:szCs w:val="24"/>
                <w:vertAlign w:val="subscript"/>
              </w:rPr>
              <w:t>1</w:t>
            </w:r>
            <w:r>
              <w:rPr>
                <w:rFonts w:ascii="Times New Roman" w:eastAsia="Calibri" w:hAnsi="Times New Roman" w:cs="Times New Roman"/>
                <w:spacing w:val="-4"/>
                <w:sz w:val="24"/>
                <w:szCs w:val="24"/>
              </w:rPr>
              <w:softHyphen/>
              <w:t xml:space="preserve"> ngày 31/12/2024 và Thông báo số 150/TB-UBND ngày 11/4/2025.</w:t>
            </w:r>
          </w:p>
          <w:p>
            <w:pPr>
              <w:pBdr>
                <w:top w:val="dotted" w:sz="4" w:space="0" w:color="FFFFFF"/>
                <w:left w:val="dotted" w:sz="4" w:space="0" w:color="FFFFFF"/>
                <w:bottom w:val="dotted" w:sz="4" w:space="24" w:color="FFFFFF"/>
                <w:right w:val="dotted" w:sz="4" w:space="1" w:color="FFFFFF"/>
              </w:pBdr>
              <w:shd w:val="clear" w:color="auto" w:fill="FFFFFF"/>
              <w:tabs>
                <w:tab w:val="left" w:pos="8025"/>
              </w:tabs>
              <w:spacing w:before="40" w:after="0" w:line="240" w:lineRule="auto"/>
              <w:ind w:firstLine="288"/>
              <w:jc w:val="both"/>
              <w:rPr>
                <w:rFonts w:ascii="Times New Roman" w:eastAsia="Times New Roman" w:hAnsi="Times New Roman" w:cs="Times New Roman"/>
                <w:spacing w:val="-4"/>
                <w:sz w:val="24"/>
                <w:szCs w:val="24"/>
              </w:rPr>
            </w:pPr>
            <w:r>
              <w:rPr>
                <w:rFonts w:ascii="Times New Roman" w:eastAsia="Calibri" w:hAnsi="Times New Roman" w:cs="Times New Roman"/>
                <w:spacing w:val="-4"/>
                <w:sz w:val="24"/>
                <w:szCs w:val="24"/>
              </w:rPr>
              <w:t>Sau khi việc xử lý các tồn tại, vướng mắc, hoàn thiện các thủ tục triển khai dự án thì tiếp tục thực hiện công tác bồi thường, GPMB, thu hồi đất để thực hiện dự án (trong đó có hạng mục hồ Rào Trổ).</w:t>
            </w:r>
          </w:p>
        </w:tc>
        <w:tc>
          <w:tcPr>
            <w:tcW w:w="3969" w:type="dxa"/>
          </w:tcPr>
          <w:p>
            <w:pPr>
              <w:spacing w:before="40" w:after="40" w:line="240" w:lineRule="auto"/>
              <w:ind w:firstLine="119"/>
              <w:rPr>
                <w:rFonts w:ascii="Times New Roman" w:eastAsia="Times New Roman" w:hAnsi="Times New Roman" w:cs="Times New Roman"/>
                <w:spacing w:val="-4"/>
                <w:sz w:val="24"/>
                <w:szCs w:val="24"/>
              </w:rPr>
            </w:pPr>
          </w:p>
        </w:tc>
      </w:tr>
      <w:tr>
        <w:trPr>
          <w:trHeight w:val="70"/>
        </w:trPr>
        <w:tc>
          <w:tcPr>
            <w:tcW w:w="736" w:type="dxa"/>
            <w:vAlign w:val="center"/>
          </w:tcPr>
          <w:p>
            <w:pPr>
              <w:spacing w:before="40" w:after="40" w:line="240" w:lineRule="auto"/>
              <w:jc w:val="center"/>
              <w:rPr>
                <w:rFonts w:ascii="Times New Roman" w:eastAsia="Times New Roman" w:hAnsi="Times New Roman" w:cs="Times New Roman"/>
                <w:b/>
                <w:spacing w:val="-4"/>
                <w:sz w:val="24"/>
                <w:szCs w:val="24"/>
              </w:rPr>
            </w:pPr>
            <w:r>
              <w:rPr>
                <w:rFonts w:ascii="Times New Roman" w:eastAsia="Times New Roman" w:hAnsi="Times New Roman" w:cs="Times New Roman"/>
                <w:b/>
                <w:spacing w:val="-4"/>
                <w:sz w:val="24"/>
                <w:szCs w:val="24"/>
              </w:rPr>
              <w:t>1</w:t>
            </w:r>
          </w:p>
        </w:tc>
        <w:tc>
          <w:tcPr>
            <w:tcW w:w="14687" w:type="dxa"/>
            <w:gridSpan w:val="5"/>
            <w:vAlign w:val="center"/>
          </w:tcPr>
          <w:p>
            <w:pPr>
              <w:spacing w:before="40" w:after="40" w:line="240" w:lineRule="auto"/>
              <w:ind w:firstLine="119"/>
              <w:rPr>
                <w:rFonts w:ascii="Times New Roman" w:eastAsia="Times New Roman" w:hAnsi="Times New Roman" w:cs="Times New Roman"/>
                <w:b/>
                <w:spacing w:val="-4"/>
                <w:sz w:val="24"/>
                <w:szCs w:val="24"/>
              </w:rPr>
            </w:pPr>
            <w:r>
              <w:rPr>
                <w:rFonts w:ascii="Times New Roman" w:eastAsia="Times New Roman" w:hAnsi="Times New Roman" w:cs="Times New Roman"/>
                <w:b/>
                <w:spacing w:val="-4"/>
                <w:sz w:val="24"/>
                <w:szCs w:val="24"/>
                <w:lang w:val="vi-VN"/>
              </w:rPr>
              <w:t xml:space="preserve">Vụ việc KNTC đã được </w:t>
            </w:r>
            <w:r>
              <w:rPr>
                <w:rFonts w:ascii="Times New Roman" w:eastAsia="Times New Roman" w:hAnsi="Times New Roman" w:cs="Times New Roman"/>
                <w:b/>
                <w:spacing w:val="-4"/>
                <w:sz w:val="24"/>
                <w:szCs w:val="24"/>
              </w:rPr>
              <w:t>Trung ương</w:t>
            </w:r>
            <w:r>
              <w:rPr>
                <w:rFonts w:ascii="Times New Roman" w:eastAsia="Times New Roman" w:hAnsi="Times New Roman" w:cs="Times New Roman"/>
                <w:b/>
                <w:spacing w:val="-4"/>
                <w:sz w:val="24"/>
                <w:szCs w:val="24"/>
                <w:lang w:val="vi-VN"/>
              </w:rPr>
              <w:t xml:space="preserve"> chỉ đạo giải quyết</w:t>
            </w:r>
            <w:r>
              <w:rPr>
                <w:rFonts w:ascii="Times New Roman" w:eastAsia="Times New Roman" w:hAnsi="Times New Roman" w:cs="Times New Roman"/>
                <w:b/>
                <w:spacing w:val="-4"/>
                <w:sz w:val="24"/>
                <w:szCs w:val="24"/>
              </w:rPr>
              <w:t>, địa phương đã xử lý hết thẩm quyền tuy nhiên công dân vẫn cố tình đeo bám, khiếu kiện kéo dài</w:t>
            </w:r>
          </w:p>
        </w:tc>
      </w:tr>
      <w:tr>
        <w:trPr>
          <w:trHeight w:val="70"/>
        </w:trPr>
        <w:tc>
          <w:tcPr>
            <w:tcW w:w="736" w:type="dxa"/>
            <w:vAlign w:val="center"/>
          </w:tcPr>
          <w:p>
            <w:pPr>
              <w:spacing w:before="40" w:after="40" w:line="240" w:lineRule="auto"/>
              <w:jc w:val="center"/>
              <w:rPr>
                <w:rFonts w:ascii="Times New Roman" w:eastAsia="Times New Roman" w:hAnsi="Times New Roman" w:cs="Times New Roman"/>
                <w:spacing w:val="-4"/>
                <w:sz w:val="24"/>
                <w:szCs w:val="24"/>
                <w:lang w:val="vi-VN"/>
              </w:rPr>
            </w:pPr>
            <w:r>
              <w:rPr>
                <w:rFonts w:ascii="Times New Roman" w:eastAsia="Times New Roman" w:hAnsi="Times New Roman" w:cs="Times New Roman"/>
                <w:spacing w:val="-4"/>
                <w:sz w:val="24"/>
                <w:szCs w:val="24"/>
              </w:rPr>
              <w:t>2</w:t>
            </w:r>
            <w:r>
              <w:rPr>
                <w:rFonts w:ascii="Times New Roman" w:eastAsia="Times New Roman" w:hAnsi="Times New Roman" w:cs="Times New Roman"/>
                <w:spacing w:val="-4"/>
                <w:sz w:val="24"/>
                <w:szCs w:val="24"/>
                <w:lang w:val="vi-VN"/>
              </w:rPr>
              <w:t>.1</w:t>
            </w:r>
          </w:p>
        </w:tc>
        <w:tc>
          <w:tcPr>
            <w:tcW w:w="3516" w:type="dxa"/>
            <w:gridSpan w:val="2"/>
            <w:vAlign w:val="center"/>
          </w:tcPr>
          <w:p>
            <w:pPr>
              <w:spacing w:before="40" w:after="40" w:line="240" w:lineRule="auto"/>
              <w:ind w:firstLine="219"/>
              <w:jc w:val="both"/>
              <w:rPr>
                <w:rFonts w:ascii="Times New Roman" w:eastAsia="Times New Roman" w:hAnsi="Times New Roman" w:cs="Times New Roman"/>
                <w:spacing w:val="-4"/>
                <w:sz w:val="24"/>
                <w:szCs w:val="24"/>
                <w:lang w:val="vi-VN"/>
              </w:rPr>
            </w:pPr>
            <w:r>
              <w:rPr>
                <w:rFonts w:ascii="Times New Roman" w:eastAsia="Times New Roman" w:hAnsi="Times New Roman" w:cs="Times New Roman"/>
                <w:spacing w:val="-4"/>
                <w:sz w:val="24"/>
                <w:szCs w:val="24"/>
                <w:lang w:val="vi-VN"/>
              </w:rPr>
              <w:t>Các hộ khiếu nại đền bù đường 1A giai đoạn 1992-1994</w:t>
            </w:r>
          </w:p>
        </w:tc>
        <w:tc>
          <w:tcPr>
            <w:tcW w:w="710" w:type="dxa"/>
          </w:tcPr>
          <w:p>
            <w:pPr>
              <w:spacing w:before="40" w:after="40" w:line="240" w:lineRule="auto"/>
              <w:rPr>
                <w:rFonts w:ascii="Times New Roman" w:eastAsia="Times New Roman" w:hAnsi="Times New Roman" w:cs="Times New Roman"/>
                <w:spacing w:val="-4"/>
                <w:sz w:val="24"/>
                <w:szCs w:val="24"/>
              </w:rPr>
            </w:pPr>
          </w:p>
          <w:p>
            <w:pPr>
              <w:spacing w:before="40" w:after="40" w:line="240" w:lineRule="auto"/>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1999</w:t>
            </w:r>
          </w:p>
        </w:tc>
        <w:tc>
          <w:tcPr>
            <w:tcW w:w="6492" w:type="dxa"/>
          </w:tcPr>
          <w:p>
            <w:pPr>
              <w:spacing w:before="40" w:after="40" w:line="240" w:lineRule="auto"/>
              <w:ind w:firstLine="288"/>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Đã được các cấp chính quyền từ thành phố đến tỉnh xem xét giải quyết, Trung ương tiến hành rà soát. Ngày 10/11/2016, Thanh tra Chính phủ ban hành Kết luận số 2972/KL-TTCP; Phó Thủ tướng Thường trực Chính phủ đã có kết luận tại Thông báo kết luận số 337/TB-VPCP ngày 21/9/2019 của Văn phòng Chính phủ. UBND tỉnh đã ban hành các Văn bản: số 6533/UBND-NC ngày 02/10/2019, số 7676/UBND-NC ngày 18/11/2019 giao Sở Tài nguyên và Môi trường, Thanh tra tỉnh, UBND thành phố Hà Tĩnh tham mưu UBND tỉnh triển khai các nội dung theo Thông báo của Văn phòng Chính phủ và ý kiến của Bộ Tài nguyên và Môi trường. Ngày 13/3/2020, UBND thành phố Hà Tĩnh đã tổ chức hội nghị công khai các nội dung liên quan đến việc giải tỏa hành lang, công tác bồi thường, giải phóng mặt bằng dự án cải tạo, nâng cấp Quốc lộ 1A, đoạn qua thị xã Hà Tĩnh (nay là thành phố Hà Tĩnh). Đồng thời, UBND thành phố Hà Tĩnh đã tiến hành rà soát các hộ dân có điều kiện, hoàn cảnh khó khăn; ngày 23/10/2019 UBND thành phố Hà Tĩnh đã có Văn bản số 2577/UBND-TTr báo cáo UBND tỉnh về kết quả rà soát điều kiện, hoàn cảnh (chỗ ở, đất đai và đời sống) của các hộ khiếu kiện</w:t>
            </w:r>
            <w:r>
              <w:rPr>
                <w:rFonts w:ascii="Times New Roman" w:eastAsia="Times New Roman" w:hAnsi="Times New Roman" w:cs="Times New Roman"/>
                <w:b/>
                <w:spacing w:val="-4"/>
                <w:sz w:val="24"/>
                <w:szCs w:val="24"/>
              </w:rPr>
              <w:t xml:space="preserve">. </w:t>
            </w:r>
          </w:p>
        </w:tc>
        <w:tc>
          <w:tcPr>
            <w:tcW w:w="3969" w:type="dxa"/>
          </w:tcPr>
          <w:p>
            <w:pPr>
              <w:spacing w:before="40" w:after="40" w:line="240" w:lineRule="auto"/>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Một số hộ tiếp tục KNTC việc thực hiện chính sách bồi thường và yêu cầu bồi thường về đất khi giải tỏa mở rộng hành lang đường 1A giai đoạn 1992-1994. Đến nay một số hộ vẫn chưa chấp hành dời dọn công trình, vật kiến trúc trong chỉ giới hành lang đường, gây mất mỹ quan đô thị. </w:t>
            </w:r>
          </w:p>
        </w:tc>
      </w:tr>
      <w:tr>
        <w:tc>
          <w:tcPr>
            <w:tcW w:w="779" w:type="dxa"/>
            <w:gridSpan w:val="2"/>
            <w:vAlign w:val="center"/>
          </w:tcPr>
          <w:p>
            <w:pPr>
              <w:spacing w:before="40" w:after="40" w:line="240" w:lineRule="auto"/>
              <w:jc w:val="center"/>
              <w:rPr>
                <w:rFonts w:ascii="Times New Roman" w:eastAsia="Times New Roman" w:hAnsi="Times New Roman" w:cs="Times New Roman"/>
                <w:b/>
                <w:spacing w:val="-4"/>
                <w:sz w:val="24"/>
                <w:szCs w:val="24"/>
              </w:rPr>
            </w:pPr>
            <w:r>
              <w:rPr>
                <w:rFonts w:ascii="Times New Roman" w:eastAsia="Times New Roman" w:hAnsi="Times New Roman" w:cs="Times New Roman"/>
                <w:b/>
                <w:spacing w:val="-4"/>
                <w:sz w:val="24"/>
                <w:szCs w:val="24"/>
              </w:rPr>
              <w:t>3</w:t>
            </w:r>
          </w:p>
        </w:tc>
        <w:tc>
          <w:tcPr>
            <w:tcW w:w="14644" w:type="dxa"/>
            <w:gridSpan w:val="4"/>
          </w:tcPr>
          <w:p>
            <w:pPr>
              <w:spacing w:before="40" w:after="40" w:line="240" w:lineRule="auto"/>
              <w:ind w:firstLine="288"/>
              <w:jc w:val="both"/>
              <w:rPr>
                <w:rFonts w:ascii="Times New Roman" w:eastAsia="Times New Roman" w:hAnsi="Times New Roman" w:cs="Times New Roman"/>
                <w:b/>
                <w:spacing w:val="-4"/>
                <w:sz w:val="24"/>
                <w:szCs w:val="24"/>
              </w:rPr>
            </w:pPr>
            <w:r>
              <w:rPr>
                <w:rFonts w:ascii="Times New Roman" w:eastAsia="Times New Roman" w:hAnsi="Times New Roman" w:cs="Times New Roman"/>
                <w:b/>
                <w:spacing w:val="-4"/>
                <w:sz w:val="24"/>
                <w:szCs w:val="24"/>
                <w:lang w:val="vi-VN"/>
              </w:rPr>
              <w:t xml:space="preserve">Vụ việc khiếu nại đã được </w:t>
            </w:r>
            <w:r>
              <w:rPr>
                <w:rFonts w:ascii="Times New Roman" w:eastAsia="Times New Roman" w:hAnsi="Times New Roman" w:cs="Times New Roman"/>
                <w:b/>
                <w:spacing w:val="-4"/>
                <w:sz w:val="24"/>
                <w:szCs w:val="24"/>
              </w:rPr>
              <w:t xml:space="preserve">cấp ủy, </w:t>
            </w:r>
            <w:r>
              <w:rPr>
                <w:rFonts w:ascii="Times New Roman" w:eastAsia="Times New Roman" w:hAnsi="Times New Roman" w:cs="Times New Roman"/>
                <w:b/>
                <w:spacing w:val="-4"/>
                <w:sz w:val="24"/>
                <w:szCs w:val="24"/>
                <w:lang w:val="vi-VN"/>
              </w:rPr>
              <w:t xml:space="preserve">chính quyền địa phương </w:t>
            </w:r>
            <w:r>
              <w:rPr>
                <w:rFonts w:ascii="Times New Roman" w:eastAsia="Times New Roman" w:hAnsi="Times New Roman" w:cs="Times New Roman"/>
                <w:b/>
                <w:spacing w:val="-4"/>
                <w:sz w:val="24"/>
                <w:szCs w:val="24"/>
              </w:rPr>
              <w:t xml:space="preserve">chỉ đạo </w:t>
            </w:r>
            <w:r>
              <w:rPr>
                <w:rFonts w:ascii="Times New Roman" w:eastAsia="Times New Roman" w:hAnsi="Times New Roman" w:cs="Times New Roman"/>
                <w:b/>
                <w:spacing w:val="-4"/>
                <w:sz w:val="24"/>
                <w:szCs w:val="24"/>
                <w:lang w:val="vi-VN"/>
              </w:rPr>
              <w:t>giải quyết đúng trình tự, thủ tục theo quy định pháp luật; quyết định giải quyết khiếu nại đã có hiệu lực pháp luật nhưng công dân vẫn tiếp tục khiếu nại</w:t>
            </w:r>
            <w:r>
              <w:rPr>
                <w:rFonts w:ascii="Times New Roman" w:eastAsia="Times New Roman" w:hAnsi="Times New Roman" w:cs="Times New Roman"/>
                <w:b/>
                <w:spacing w:val="-4"/>
                <w:sz w:val="24"/>
                <w:szCs w:val="24"/>
              </w:rPr>
              <w:t>.</w:t>
            </w:r>
          </w:p>
        </w:tc>
      </w:tr>
      <w:tr>
        <w:tc>
          <w:tcPr>
            <w:tcW w:w="779" w:type="dxa"/>
            <w:gridSpan w:val="2"/>
            <w:vAlign w:val="center"/>
          </w:tcPr>
          <w:p>
            <w:pPr>
              <w:spacing w:before="40" w:after="40" w:line="240" w:lineRule="auto"/>
              <w:jc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3.1</w:t>
            </w:r>
          </w:p>
        </w:tc>
        <w:tc>
          <w:tcPr>
            <w:tcW w:w="3473" w:type="dxa"/>
            <w:vAlign w:val="center"/>
          </w:tcPr>
          <w:p>
            <w:pPr>
              <w:spacing w:before="40" w:after="40" w:line="240" w:lineRule="auto"/>
              <w:ind w:firstLine="219"/>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Bà Trần Thị Thanh Thủy, ở thôn Hợp Giáp, xã Xuân Yên: kiến nghị giải quyết việc năm 2002 UBND xã Xuân Yên thu của gia đình bà 100 triệu đồng tiền thuê đất kinh doanh dịch vụ tại bãi tắm Xuân Yên nhưng đến nay không được giao đất theo đúng cam kết hợp đồng thuê đất đã được ký kết từ năm 2002. Bà Thủy không đồng ý với văn bản trả lời của UBND xã Xuân Yên về phương án giải quyết trả lại tiền theo lãi suất ngân hàng tại thời điểm hiện nay</w:t>
            </w:r>
          </w:p>
        </w:tc>
        <w:tc>
          <w:tcPr>
            <w:tcW w:w="710" w:type="dxa"/>
          </w:tcPr>
          <w:p>
            <w:pPr>
              <w:spacing w:before="40" w:after="40" w:line="240" w:lineRule="auto"/>
              <w:jc w:val="center"/>
              <w:rPr>
                <w:rFonts w:ascii="Times New Roman" w:eastAsia="Times New Roman" w:hAnsi="Times New Roman" w:cs="Times New Roman"/>
                <w:spacing w:val="-4"/>
                <w:sz w:val="24"/>
                <w:szCs w:val="24"/>
              </w:rPr>
            </w:pPr>
          </w:p>
          <w:p>
            <w:pPr>
              <w:spacing w:before="40" w:after="40" w:line="240" w:lineRule="auto"/>
              <w:jc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2015</w:t>
            </w:r>
          </w:p>
        </w:tc>
        <w:tc>
          <w:tcPr>
            <w:tcW w:w="6492" w:type="dxa"/>
          </w:tcPr>
          <w:p>
            <w:pPr>
              <w:spacing w:before="40" w:after="40" w:line="240" w:lineRule="auto"/>
              <w:ind w:firstLine="288"/>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UBND xã Xuân Yên tổ chức đối thoại, làm việc nhiều cuộc với gia đình bà Trần Thị Thanh Thủy và các có liên quan; đã lập phương án hoàn trả lại tiền gốc đã nộp và mức lãi suất tiền gửi ngân hàng theo từng thời điểm cho gia đình bà Thủy; trường hợp bà không đồng ý thì hướng dẫn bà khiếu kiện ra Tòa án để được giải quyết. Tuy vậy, bà Trần Thị Thanh Thủy không đồng ý nhận tiền, cũng không khởi kiện ra Tòa án mà tiếp tục yêu cầu giao đất.</w:t>
            </w:r>
          </w:p>
        </w:tc>
        <w:tc>
          <w:tcPr>
            <w:tcW w:w="3969" w:type="dxa"/>
          </w:tcPr>
          <w:p>
            <w:pPr>
              <w:spacing w:before="40" w:after="40" w:line="240" w:lineRule="auto"/>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Thời gian vừa qua UBND huyện Nghi Xuân không nhận được đơn của bà Thuỷ; nên vụ việc đang thuộc chế độ theo dõi.</w:t>
            </w:r>
          </w:p>
        </w:tc>
      </w:tr>
      <w:tr>
        <w:trPr>
          <w:trHeight w:val="73"/>
        </w:trPr>
        <w:tc>
          <w:tcPr>
            <w:tcW w:w="779" w:type="dxa"/>
            <w:gridSpan w:val="2"/>
            <w:vAlign w:val="center"/>
          </w:tcPr>
          <w:p>
            <w:pPr>
              <w:spacing w:before="40" w:after="40" w:line="240" w:lineRule="auto"/>
              <w:jc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3.2</w:t>
            </w:r>
          </w:p>
        </w:tc>
        <w:tc>
          <w:tcPr>
            <w:tcW w:w="3473" w:type="dxa"/>
            <w:vAlign w:val="center"/>
          </w:tcPr>
          <w:p>
            <w:pPr>
              <w:spacing w:before="40" w:after="40" w:line="240" w:lineRule="auto"/>
              <w:ind w:firstLine="219"/>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Bà Đào Thị Châu, trú tại thôn 5, xã Phúc Trạch có đơn khiếu nại Văn bản số 2195/UBND-TNMT ngày 20/11/2019 của UBND huyện trả lời bà về việc phải thực hiện nghĩa vụ tài chính để được cấp giấy CNQSD đất ở đối với thửa đất gia đình bà đang sử dụng có nguồn gốc nhận thừa kế của bà Thanh</w:t>
            </w:r>
            <w:r>
              <w:rPr>
                <w:rFonts w:ascii="Times New Roman" w:eastAsia="Times New Roman" w:hAnsi="Times New Roman" w:cs="Times New Roman"/>
                <w:spacing w:val="-4"/>
                <w:sz w:val="24"/>
                <w:szCs w:val="24"/>
                <w:lang w:val="vi-VN"/>
              </w:rPr>
              <w:t>.</w:t>
            </w:r>
            <w:r>
              <w:rPr>
                <w:rFonts w:ascii="Times New Roman" w:eastAsia="Times New Roman" w:hAnsi="Times New Roman" w:cs="Times New Roman"/>
                <w:spacing w:val="-4"/>
                <w:sz w:val="24"/>
                <w:szCs w:val="24"/>
                <w:lang w:val="nl-NL"/>
              </w:rPr>
              <w:t xml:space="preserve">  </w:t>
            </w:r>
          </w:p>
          <w:p>
            <w:pPr>
              <w:spacing w:before="40" w:after="40" w:line="240" w:lineRule="auto"/>
              <w:ind w:firstLine="219"/>
              <w:jc w:val="both"/>
              <w:rPr>
                <w:rFonts w:ascii="Times New Roman" w:eastAsia="Times New Roman" w:hAnsi="Times New Roman" w:cs="Times New Roman"/>
                <w:spacing w:val="-4"/>
                <w:sz w:val="24"/>
                <w:szCs w:val="24"/>
              </w:rPr>
            </w:pPr>
          </w:p>
        </w:tc>
        <w:tc>
          <w:tcPr>
            <w:tcW w:w="710" w:type="dxa"/>
            <w:vAlign w:val="center"/>
          </w:tcPr>
          <w:p>
            <w:pPr>
              <w:spacing w:before="40" w:after="40" w:line="240" w:lineRule="auto"/>
              <w:jc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2019</w:t>
            </w:r>
          </w:p>
        </w:tc>
        <w:tc>
          <w:tcPr>
            <w:tcW w:w="6492" w:type="dxa"/>
          </w:tcPr>
          <w:p>
            <w:pPr>
              <w:spacing w:before="40" w:after="40" w:line="240" w:lineRule="auto"/>
              <w:ind w:firstLine="288"/>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Khiếu nại của bà Đào Thị Châu đã được Chủ tịch UBND huyện Hương Khê xem xét, giải quyết khiếu nại (lần đầu) tại Quyết định số 1830/QĐ-UBND ngày17/4/2020; Chủ tịch UBND tỉnh xem xét, giải quyết khiếu nại (lần hai) tại Quyết định số 3275/QĐ-UBND ngày 28/9/2020. Không đồng tình với kết quả giải quyết nêu trên, bà Châu tiếp tục có đơn gửi các cơ quan cấp tỉnh, cấp huyện. Sở Tài nguyên và Môi trường, Thanh tra tỉnh đã rà soát có báo cáo kết quả rà soát vụ việc và trả lời công dân tại Văn bản số 2417/STNMT-TTr ngày 08/7/2022; Văn bản số 756/TT-NV1 ngày 20/11/2023, khẳng định: nội dung đơn khiếu nại của bà Đào Thị Châu đã được cơ quan Nhà nước giải quyết hết thẩm quyền; việc bà Châu không phối hợp thực hiện và tiếp tục làm đơn khiếu nại về nội dung nêu trên là không có cơ sở để xem xét. Ngày 05/12/2023, UBND tỉnh đã ban hành Thông báo số 543/TB-UBND về việc từ chối tiếp nội dung khiếu nại của bà Châu.</w:t>
            </w:r>
          </w:p>
        </w:tc>
        <w:tc>
          <w:tcPr>
            <w:tcW w:w="3969" w:type="dxa"/>
          </w:tcPr>
          <w:p>
            <w:pPr>
              <w:spacing w:before="40" w:after="40" w:line="240" w:lineRule="auto"/>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Mặc dù được UBND huyện Hương Khê, UBND tỉnh giải quyết đúng quy định nhưng bà Châu vẫn cố tình không đồng tình và khiếu kiện kéo dài.</w:t>
            </w:r>
          </w:p>
        </w:tc>
      </w:tr>
      <w:tr>
        <w:tc>
          <w:tcPr>
            <w:tcW w:w="779" w:type="dxa"/>
            <w:gridSpan w:val="2"/>
            <w:vAlign w:val="center"/>
          </w:tcPr>
          <w:p>
            <w:pPr>
              <w:spacing w:before="40" w:after="40" w:line="240" w:lineRule="auto"/>
              <w:jc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3.3</w:t>
            </w:r>
          </w:p>
        </w:tc>
        <w:tc>
          <w:tcPr>
            <w:tcW w:w="3473" w:type="dxa"/>
            <w:vAlign w:val="center"/>
          </w:tcPr>
          <w:p>
            <w:pPr>
              <w:spacing w:before="40" w:after="40" w:line="240" w:lineRule="auto"/>
              <w:ind w:firstLine="219"/>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Vụ việc ông Trần Văn Đổng KNTC, kiến nghị liên quan đến các nội dung: </w:t>
            </w:r>
          </w:p>
          <w:p>
            <w:pPr>
              <w:spacing w:before="40" w:after="40" w:line="240" w:lineRule="auto"/>
              <w:ind w:firstLine="219"/>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Nội dung 1: việc lập hồ sơ cấp giấy CNQSD đất đối với thửa đất đã mua của bà Nguyễn Thị Chữ và nay đang có tranh chấp với các con của bà Chữ;</w:t>
            </w:r>
          </w:p>
          <w:p>
            <w:pPr>
              <w:spacing w:before="40" w:after="40" w:line="240" w:lineRule="auto"/>
              <w:ind w:firstLine="219"/>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Nội dung 2: việc yêu cầu bồi thường các thửa đất tại khu vực Kè Bình Lạng mà ông cho rằng là đất của ông sử dụng và cha mẹ ông để lại.</w:t>
            </w:r>
          </w:p>
        </w:tc>
        <w:tc>
          <w:tcPr>
            <w:tcW w:w="710" w:type="dxa"/>
            <w:vAlign w:val="center"/>
          </w:tcPr>
          <w:p>
            <w:pPr>
              <w:spacing w:before="40" w:after="40" w:line="240" w:lineRule="auto"/>
              <w:jc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2022</w:t>
            </w:r>
          </w:p>
        </w:tc>
        <w:tc>
          <w:tcPr>
            <w:tcW w:w="6492" w:type="dxa"/>
          </w:tcPr>
          <w:p>
            <w:pPr>
              <w:spacing w:before="40" w:after="40" w:line="240" w:lineRule="auto"/>
              <w:ind w:firstLine="288"/>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Nội dung 1: năm 2009, ông Trần Văn Đổng nhận chuyển nhượng thửa đất theo Quyết định số 221/QĐ-UBND ngày 09/7/2009 của UBND thị xã Hồng Lĩnh về việc giao đất cho hộ gia đình, cá nhân làm nhà ở mang tên bà Phạm Thị Chữ (</w:t>
            </w:r>
            <w:r>
              <w:rPr>
                <w:rFonts w:ascii="Times New Roman" w:eastAsia="Times New Roman" w:hAnsi="Times New Roman" w:cs="Times New Roman"/>
                <w:i/>
                <w:iCs/>
                <w:spacing w:val="-4"/>
                <w:sz w:val="24"/>
                <w:szCs w:val="24"/>
              </w:rPr>
              <w:t>nay thuộc thửa đất số 706, tờ bản đồ 38, bản đồ địa chính phường Đậu Liêu</w:t>
            </w:r>
            <w:r>
              <w:rPr>
                <w:rFonts w:ascii="Times New Roman" w:eastAsia="Times New Roman" w:hAnsi="Times New Roman" w:cs="Times New Roman"/>
                <w:spacing w:val="-4"/>
                <w:sz w:val="24"/>
                <w:szCs w:val="24"/>
              </w:rPr>
              <w:t>); việc nhận chuyển nhượng quyền sử dung đất thực hiện theo giấy bán đất (</w:t>
            </w:r>
            <w:r>
              <w:rPr>
                <w:rFonts w:ascii="Times New Roman" w:eastAsia="Times New Roman" w:hAnsi="Times New Roman" w:cs="Times New Roman"/>
                <w:i/>
                <w:iCs/>
                <w:spacing w:val="-4"/>
                <w:sz w:val="24"/>
                <w:szCs w:val="24"/>
              </w:rPr>
              <w:t>giấy viết tay</w:t>
            </w:r>
            <w:r>
              <w:rPr>
                <w:rFonts w:ascii="Times New Roman" w:eastAsia="Times New Roman" w:hAnsi="Times New Roman" w:cs="Times New Roman"/>
                <w:spacing w:val="-4"/>
                <w:sz w:val="24"/>
                <w:szCs w:val="24"/>
              </w:rPr>
              <w:t xml:space="preserve">) chỉ có chữ ký của con trai và con dâu, có chữ ký và điểm chỉ của bà Phạm Thị Chữ </w:t>
            </w:r>
            <w:r>
              <w:rPr>
                <w:rFonts w:ascii="Times New Roman" w:eastAsia="Times New Roman" w:hAnsi="Times New Roman" w:cs="Times New Roman"/>
                <w:i/>
                <w:spacing w:val="-4"/>
                <w:sz w:val="24"/>
                <w:szCs w:val="24"/>
              </w:rPr>
              <w:t>(</w:t>
            </w:r>
            <w:r>
              <w:rPr>
                <w:rFonts w:ascii="Times New Roman" w:eastAsia="Times New Roman" w:hAnsi="Times New Roman" w:cs="Times New Roman"/>
                <w:i/>
                <w:iCs/>
                <w:spacing w:val="-4"/>
                <w:sz w:val="24"/>
                <w:szCs w:val="24"/>
              </w:rPr>
              <w:t>theo trình bày của ông Trần Văn Đổng, nhưng không xác thực được chính xác vì hiện nay bà Chữ đã chết</w:t>
            </w:r>
            <w:r>
              <w:rPr>
                <w:rFonts w:ascii="Times New Roman" w:eastAsia="Times New Roman" w:hAnsi="Times New Roman" w:cs="Times New Roman"/>
                <w:spacing w:val="-4"/>
                <w:sz w:val="24"/>
                <w:szCs w:val="24"/>
              </w:rPr>
              <w:t>) không có chứng thực của cơ quan có thẩm quyền.</w:t>
            </w:r>
          </w:p>
          <w:p>
            <w:pPr>
              <w:spacing w:before="40" w:after="40" w:line="240" w:lineRule="auto"/>
              <w:ind w:firstLine="288"/>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Trên cơ sở giấy tờ mua bán đất trên, ông Trần Văn Đổng nộp đơn đề nghị UBND phường Đậu Liêu thực hiện các thủ tục cấp Giấy CNQSD đất đối với thửa đất nêu trên. Trong quá trình UBND phường Đậu Liêu lập hồ sơ trình cấp có thẩm quyền cấp Giấy CNQSD đất đối với ông Trần Văn Đổng thì bà Nguyễn Thị Liên (</w:t>
            </w:r>
            <w:r>
              <w:rPr>
                <w:rFonts w:ascii="Times New Roman" w:eastAsia="Times New Roman" w:hAnsi="Times New Roman" w:cs="Times New Roman"/>
                <w:i/>
                <w:iCs/>
                <w:spacing w:val="-4"/>
                <w:sz w:val="24"/>
                <w:szCs w:val="24"/>
              </w:rPr>
              <w:t>con gái bà Chữ</w:t>
            </w:r>
            <w:r>
              <w:rPr>
                <w:rFonts w:ascii="Times New Roman" w:eastAsia="Times New Roman" w:hAnsi="Times New Roman" w:cs="Times New Roman"/>
                <w:spacing w:val="-4"/>
                <w:sz w:val="24"/>
                <w:szCs w:val="24"/>
              </w:rPr>
              <w:t>) gửi đơn đề nghị không cấp Giấy CNQSD đất cho ông Trần Văn Đổng. UBND phường Đậu Liêu đã tổ chức nhiều cuộc hòa giải việc tranh chấp đất đai giữa ông Trần Văn Đổng và bà Nguyễn Thị Liên, nhưng cả 2 gia đình chưa thống nhất được nên các cuộc hòa giải không thành; qua đó cho thấy thửa đất mà ông Trần Văn Đổng đề nghị cấp Giấy CNQSD đất đang có sự tranh chấp xẩy ra.</w:t>
            </w:r>
          </w:p>
          <w:p>
            <w:pPr>
              <w:spacing w:before="40" w:after="40" w:line="240" w:lineRule="auto"/>
              <w:ind w:firstLine="288"/>
              <w:jc w:val="both"/>
              <w:rPr>
                <w:rFonts w:ascii="Times New Roman" w:eastAsia="Times New Roman" w:hAnsi="Times New Roman" w:cs="Times New Roman"/>
                <w:spacing w:val="-4"/>
                <w:sz w:val="24"/>
                <w:szCs w:val="24"/>
                <w:lang w:val="vi-VN"/>
              </w:rPr>
            </w:pPr>
            <w:r>
              <w:rPr>
                <w:rFonts w:ascii="Times New Roman" w:eastAsia="Times New Roman" w:hAnsi="Times New Roman" w:cs="Times New Roman"/>
                <w:spacing w:val="-4"/>
                <w:sz w:val="24"/>
                <w:szCs w:val="24"/>
              </w:rPr>
              <w:t xml:space="preserve">- Nội dung 2: </w:t>
            </w:r>
            <w:r>
              <w:rPr>
                <w:rFonts w:ascii="Times New Roman" w:eastAsia="Times New Roman" w:hAnsi="Times New Roman" w:cs="Times New Roman"/>
                <w:spacing w:val="-4"/>
                <w:sz w:val="24"/>
                <w:szCs w:val="24"/>
                <w:lang w:val="vi-VN"/>
              </w:rPr>
              <w:t>ông Trần Văn Đổng yêu cầu bồi thường cho gia đình ông diện tích 2</w:t>
            </w:r>
            <w:r>
              <w:rPr>
                <w:rFonts w:ascii="Times New Roman" w:eastAsia="Times New Roman" w:hAnsi="Times New Roman" w:cs="Times New Roman"/>
                <w:spacing w:val="-4"/>
                <w:sz w:val="24"/>
                <w:szCs w:val="24"/>
              </w:rPr>
              <w:t>.</w:t>
            </w:r>
            <w:r>
              <w:rPr>
                <w:rFonts w:ascii="Times New Roman" w:eastAsia="Times New Roman" w:hAnsi="Times New Roman" w:cs="Times New Roman"/>
                <w:spacing w:val="-4"/>
                <w:sz w:val="24"/>
                <w:szCs w:val="24"/>
                <w:lang w:val="vi-VN"/>
              </w:rPr>
              <w:t>781,2m</w:t>
            </w:r>
            <w:r>
              <w:rPr>
                <w:rFonts w:ascii="Times New Roman" w:eastAsia="Times New Roman" w:hAnsi="Times New Roman" w:cs="Times New Roman"/>
                <w:spacing w:val="-4"/>
                <w:sz w:val="24"/>
                <w:szCs w:val="24"/>
                <w:vertAlign w:val="superscript"/>
                <w:lang w:val="vi-VN"/>
              </w:rPr>
              <w:t>2</w:t>
            </w:r>
            <w:r>
              <w:rPr>
                <w:rFonts w:ascii="Times New Roman" w:eastAsia="Times New Roman" w:hAnsi="Times New Roman" w:cs="Times New Roman"/>
                <w:spacing w:val="-4"/>
                <w:sz w:val="24"/>
                <w:szCs w:val="24"/>
                <w:lang w:val="vi-VN"/>
              </w:rPr>
              <w:t xml:space="preserve"> bị UBND thị xã </w:t>
            </w:r>
            <w:r>
              <w:rPr>
                <w:rFonts w:ascii="Times New Roman" w:eastAsia="Times New Roman" w:hAnsi="Times New Roman" w:cs="Times New Roman"/>
                <w:spacing w:val="-4"/>
                <w:sz w:val="24"/>
                <w:szCs w:val="24"/>
              </w:rPr>
              <w:t xml:space="preserve">Hồng Lĩnh </w:t>
            </w:r>
            <w:r>
              <w:rPr>
                <w:rFonts w:ascii="Times New Roman" w:eastAsia="Times New Roman" w:hAnsi="Times New Roman" w:cs="Times New Roman"/>
                <w:spacing w:val="-4"/>
                <w:sz w:val="24"/>
                <w:szCs w:val="24"/>
                <w:lang w:val="vi-VN"/>
              </w:rPr>
              <w:t>thu hồi theo Quyết định số 2017/QĐ-UBND ngày 16/9/2022</w:t>
            </w:r>
            <w:r>
              <w:rPr>
                <w:rFonts w:ascii="Times New Roman" w:eastAsia="Times New Roman" w:hAnsi="Times New Roman" w:cs="Times New Roman"/>
                <w:spacing w:val="-4"/>
                <w:sz w:val="24"/>
                <w:szCs w:val="24"/>
              </w:rPr>
              <w:t>. Kết quả kiểm tra</w:t>
            </w:r>
            <w:r>
              <w:rPr>
                <w:rFonts w:ascii="Times New Roman" w:eastAsia="Times New Roman" w:hAnsi="Times New Roman" w:cs="Times New Roman"/>
                <w:spacing w:val="-4"/>
                <w:sz w:val="24"/>
                <w:szCs w:val="24"/>
                <w:lang w:val="vi-VN"/>
              </w:rPr>
              <w:t>, từ thời điểm ông Trần Văn Đổng nhận Quyết định số 2017/QĐ-UBND (</w:t>
            </w:r>
            <w:r>
              <w:rPr>
                <w:rFonts w:ascii="Times New Roman" w:eastAsia="Times New Roman" w:hAnsi="Times New Roman" w:cs="Times New Roman"/>
                <w:i/>
                <w:spacing w:val="-4"/>
                <w:sz w:val="24"/>
                <w:szCs w:val="24"/>
                <w:lang w:val="vi-VN"/>
              </w:rPr>
              <w:t>ngày 16/9/2022</w:t>
            </w:r>
            <w:r>
              <w:rPr>
                <w:rFonts w:ascii="Times New Roman" w:eastAsia="Times New Roman" w:hAnsi="Times New Roman" w:cs="Times New Roman"/>
                <w:spacing w:val="-4"/>
                <w:sz w:val="24"/>
                <w:szCs w:val="24"/>
                <w:lang w:val="vi-VN"/>
              </w:rPr>
              <w:t xml:space="preserve">) đến thời điểm ông khiếu nại </w:t>
            </w:r>
            <w:r>
              <w:rPr>
                <w:rFonts w:ascii="Times New Roman" w:eastAsia="Times New Roman" w:hAnsi="Times New Roman" w:cs="Times New Roman"/>
                <w:spacing w:val="-4"/>
                <w:sz w:val="24"/>
                <w:szCs w:val="24"/>
              </w:rPr>
              <w:t>Q</w:t>
            </w:r>
            <w:r>
              <w:rPr>
                <w:rFonts w:ascii="Times New Roman" w:eastAsia="Times New Roman" w:hAnsi="Times New Roman" w:cs="Times New Roman"/>
                <w:spacing w:val="-4"/>
                <w:sz w:val="24"/>
                <w:szCs w:val="24"/>
                <w:lang w:val="vi-VN"/>
              </w:rPr>
              <w:t>uyết định (</w:t>
            </w:r>
            <w:r>
              <w:rPr>
                <w:rFonts w:ascii="Times New Roman" w:eastAsia="Times New Roman" w:hAnsi="Times New Roman" w:cs="Times New Roman"/>
                <w:i/>
                <w:spacing w:val="-4"/>
                <w:sz w:val="24"/>
                <w:szCs w:val="24"/>
                <w:lang w:val="vi-VN"/>
              </w:rPr>
              <w:t>ngày 25/8/2023</w:t>
            </w:r>
            <w:r>
              <w:rPr>
                <w:rFonts w:ascii="Times New Roman" w:eastAsia="Times New Roman" w:hAnsi="Times New Roman" w:cs="Times New Roman"/>
                <w:spacing w:val="-4"/>
                <w:sz w:val="24"/>
                <w:szCs w:val="24"/>
                <w:lang w:val="vi-VN"/>
              </w:rPr>
              <w:t xml:space="preserve">) là 342 ngày. Theo Điều 9 Luật Khiếu nại năm 2011 quy định về thời hiệu khiếu nại thì nội dung khiếu nại của ông Trần Văn Đổng </w:t>
            </w:r>
            <w:r>
              <w:rPr>
                <w:rFonts w:ascii="Times New Roman" w:eastAsia="Times New Roman" w:hAnsi="Times New Roman" w:cs="Times New Roman"/>
                <w:spacing w:val="-4"/>
                <w:sz w:val="24"/>
                <w:szCs w:val="24"/>
              </w:rPr>
              <w:t>hết thời hiệu thụ lý</w:t>
            </w:r>
            <w:r>
              <w:rPr>
                <w:rFonts w:ascii="Times New Roman" w:eastAsia="Times New Roman" w:hAnsi="Times New Roman" w:cs="Times New Roman"/>
                <w:spacing w:val="-4"/>
                <w:sz w:val="24"/>
                <w:szCs w:val="24"/>
                <w:lang w:val="vi-VN"/>
              </w:rPr>
              <w:t xml:space="preserve">, kể từ ngày nhận được Quyết định số 2017/QĐ-UBND của </w:t>
            </w:r>
            <w:r>
              <w:rPr>
                <w:rFonts w:ascii="Times New Roman" w:eastAsia="Times New Roman" w:hAnsi="Times New Roman" w:cs="Times New Roman"/>
                <w:spacing w:val="-4"/>
                <w:sz w:val="24"/>
                <w:szCs w:val="24"/>
              </w:rPr>
              <w:t>UBND</w:t>
            </w:r>
            <w:r>
              <w:rPr>
                <w:rFonts w:ascii="Times New Roman" w:eastAsia="Times New Roman" w:hAnsi="Times New Roman" w:cs="Times New Roman"/>
                <w:spacing w:val="-4"/>
                <w:sz w:val="24"/>
                <w:szCs w:val="24"/>
                <w:lang w:val="vi-VN"/>
              </w:rPr>
              <w:t xml:space="preserve"> thị xã Hồng Lĩnh. Tại cuộc họp, ông Trần Văn Đổng không trình bày được lý do ông không thực hiện quyền khiếu nại theo quy định. </w:t>
            </w:r>
          </w:p>
          <w:p>
            <w:pPr>
              <w:spacing w:before="40" w:after="40" w:line="240" w:lineRule="auto"/>
              <w:ind w:firstLine="288"/>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lang w:val="vi-VN"/>
              </w:rPr>
              <w:t xml:space="preserve">Do vậy, căn cứ khoản 6  Điều 11 Luật Khiếu nại, nội dung khiếu nại của ông Trần Văn Đổng đối với Quyết định số 2017/QĐ-UBND của </w:t>
            </w:r>
            <w:r>
              <w:rPr>
                <w:rFonts w:ascii="Times New Roman" w:eastAsia="Times New Roman" w:hAnsi="Times New Roman" w:cs="Times New Roman"/>
                <w:spacing w:val="-4"/>
                <w:sz w:val="24"/>
                <w:szCs w:val="24"/>
              </w:rPr>
              <w:t>UBND</w:t>
            </w:r>
            <w:r>
              <w:rPr>
                <w:rFonts w:ascii="Times New Roman" w:eastAsia="Times New Roman" w:hAnsi="Times New Roman" w:cs="Times New Roman"/>
                <w:spacing w:val="-4"/>
                <w:sz w:val="24"/>
                <w:szCs w:val="24"/>
                <w:lang w:val="vi-VN"/>
              </w:rPr>
              <w:t xml:space="preserve"> thị xã </w:t>
            </w:r>
            <w:r>
              <w:rPr>
                <w:rFonts w:ascii="Times New Roman" w:eastAsia="Times New Roman" w:hAnsi="Times New Roman" w:cs="Times New Roman"/>
                <w:spacing w:val="-4"/>
                <w:sz w:val="24"/>
                <w:szCs w:val="24"/>
              </w:rPr>
              <w:t xml:space="preserve">Hồng Lĩnh </w:t>
            </w:r>
            <w:r>
              <w:rPr>
                <w:rFonts w:ascii="Times New Roman" w:eastAsia="Times New Roman" w:hAnsi="Times New Roman" w:cs="Times New Roman"/>
                <w:spacing w:val="-4"/>
                <w:sz w:val="24"/>
                <w:szCs w:val="24"/>
                <w:lang w:val="vi-VN"/>
              </w:rPr>
              <w:t xml:space="preserve">không đủ điều kiện thụ lý, giải quyết vì lý do </w:t>
            </w:r>
            <w:r>
              <w:rPr>
                <w:rFonts w:ascii="Times New Roman" w:eastAsia="Times New Roman" w:hAnsi="Times New Roman" w:cs="Times New Roman"/>
                <w:spacing w:val="-4"/>
                <w:sz w:val="24"/>
                <w:szCs w:val="24"/>
                <w:shd w:val="clear" w:color="auto" w:fill="FFFFFF"/>
                <w:lang w:val="vi-VN"/>
              </w:rPr>
              <w:t>thời hiệu, thời hạn khiếu nại đã hết mà không có lý do chính đáng</w:t>
            </w:r>
            <w:r>
              <w:rPr>
                <w:rFonts w:ascii="Times New Roman" w:eastAsia="Times New Roman" w:hAnsi="Times New Roman" w:cs="Times New Roman"/>
                <w:spacing w:val="-4"/>
                <w:sz w:val="24"/>
                <w:szCs w:val="24"/>
                <w:lang w:val="vi-VN"/>
              </w:rPr>
              <w:t>.</w:t>
            </w:r>
          </w:p>
        </w:tc>
        <w:tc>
          <w:tcPr>
            <w:tcW w:w="3969" w:type="dxa"/>
          </w:tcPr>
          <w:p>
            <w:pPr>
              <w:spacing w:before="40" w:after="40" w:line="240" w:lineRule="auto"/>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Nội dung 1: ông Trần Văn Đổng vẫn tiếp tục yêu cầu UBND phường Đậu Liêu và UBND thị xã Hồng Lĩnh cấp giấy CNQSD đất cho ông mà không chịu khởi kiện ra Tòa án để được giải quyết tranh chấp.</w:t>
            </w:r>
          </w:p>
          <w:p>
            <w:pPr>
              <w:spacing w:before="40" w:after="40" w:line="240" w:lineRule="auto"/>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Nội dung 2: Sau khi phát sinh việc thu hồi đất, bồi thường GPMB, ông Đổng đã gửi đơn KNTC liên quan đến nội dung trên nhưng chưa được UBND thị xã Hồng Lĩnh giải quyết; do vậy hiện nay UBND thị xã Hồng Lĩnh căn cứ Điều 9 Luật Khiếu nại, không thụ lý đơn khiếu nại của ông Đổng với lý do đã hết thời hiệu khiếu nại là không đảm bảo quy định. UBND tỉnh đã chỉ đạo UBND thị xã Hồng Lĩnh thụ lý, giải quyết nội dung khiếu nại của ông Trần Văn Đổng liên quan đến việc thu hồi, bồi thường 02 thửa đất nêu trên theo đúng quy định (Văn bản số 2810/UBND-TCD1 ngày 21/5/2024 của UBND tỉnh). Tuy vậy, quá trình làm việc, ông Đổng yêu cầu giải quyết đơn tố cáo mà không đề nghị UBND thị xã Hồng Lĩnh giải quyết theo chỉ đạo của UBND tỉnh tại văn bản nêu trên.</w:t>
            </w:r>
          </w:p>
          <w:p>
            <w:pPr>
              <w:spacing w:before="40" w:after="40" w:line="240" w:lineRule="auto"/>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Từ đó đến nay, UBND thị xã Hồng Lĩnh không nhận được đơn của công dân.</w:t>
            </w:r>
          </w:p>
        </w:tc>
      </w:tr>
      <w:tr>
        <w:tc>
          <w:tcPr>
            <w:tcW w:w="779" w:type="dxa"/>
            <w:gridSpan w:val="2"/>
            <w:vAlign w:val="center"/>
          </w:tcPr>
          <w:p>
            <w:pPr>
              <w:spacing w:before="40" w:after="40" w:line="240" w:lineRule="auto"/>
              <w:jc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3.4</w:t>
            </w:r>
          </w:p>
        </w:tc>
        <w:tc>
          <w:tcPr>
            <w:tcW w:w="3473" w:type="dxa"/>
            <w:vAlign w:val="center"/>
          </w:tcPr>
          <w:p>
            <w:pPr>
              <w:spacing w:before="40" w:after="40" w:line="240" w:lineRule="auto"/>
              <w:ind w:firstLine="219"/>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Vụ việc ông Võ Văn Quyền khiếu nại Quyết định số 2720/QĐ-UBND và Quyết định số 2726/QĐ-UBND ngày 12/12/2022 của UBND thị xã Hồng Lĩnh về việc phê duyệt phương án; thu hồi đất để bồi thường, hỗ trợ, tái định cư dự án Kè chống sạt lở hai bờ khe Bình Lạng, thị xã Hồng Lĩnh </w:t>
            </w:r>
            <w:r>
              <w:rPr>
                <w:rFonts w:ascii="Times New Roman" w:eastAsia="Times New Roman" w:hAnsi="Times New Roman" w:cs="Times New Roman"/>
                <w:i/>
                <w:spacing w:val="-4"/>
                <w:sz w:val="24"/>
                <w:szCs w:val="24"/>
              </w:rPr>
              <w:t>(đoạn từ cầu Đôi đến hồ điều hòa Bắc Hồng và đoạn từ cầu Đức Thuận đến kênh Nhà Lê - đợt 8)</w:t>
            </w:r>
          </w:p>
        </w:tc>
        <w:tc>
          <w:tcPr>
            <w:tcW w:w="710" w:type="dxa"/>
            <w:vAlign w:val="center"/>
          </w:tcPr>
          <w:p>
            <w:pPr>
              <w:spacing w:before="40" w:after="40" w:line="240" w:lineRule="auto"/>
              <w:jc w:val="center"/>
              <w:rPr>
                <w:rFonts w:ascii="Times New Roman" w:eastAsia="Times New Roman" w:hAnsi="Times New Roman" w:cs="Times New Roman"/>
                <w:spacing w:val="-4"/>
                <w:sz w:val="24"/>
                <w:szCs w:val="24"/>
              </w:rPr>
            </w:pPr>
          </w:p>
        </w:tc>
        <w:tc>
          <w:tcPr>
            <w:tcW w:w="6492" w:type="dxa"/>
          </w:tcPr>
          <w:p>
            <w:pPr>
              <w:spacing w:before="40" w:after="40" w:line="240" w:lineRule="auto"/>
              <w:ind w:firstLine="288"/>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Nội dung khiếu nại của ông Võ Văn Quyền đã được Chủ tịch UBND phường Bắc Hồng giải quyết khiếu nại lần đầu tại Quyết định số 31/QĐ-UBND ngày 31/3/2023 và Chủ tịch UBND thị xã Hồng Lĩnh giải quyết khiếu nại lần hai tại Quyết định số 1263/QĐ-UBND ngày 12/6/2023, khẳng định: không công nhận nội dung khiếu nại, vì việc ông Quyền cho rằng 467,1 m</w:t>
            </w:r>
            <w:r>
              <w:rPr>
                <w:rFonts w:ascii="Times New Roman" w:eastAsia="Times New Roman" w:hAnsi="Times New Roman" w:cs="Times New Roman"/>
                <w:spacing w:val="-4"/>
                <w:sz w:val="24"/>
                <w:szCs w:val="24"/>
                <w:vertAlign w:val="superscript"/>
              </w:rPr>
              <w:t>2</w:t>
            </w:r>
            <w:r>
              <w:rPr>
                <w:rFonts w:ascii="Times New Roman" w:eastAsia="Times New Roman" w:hAnsi="Times New Roman" w:cs="Times New Roman"/>
                <w:spacing w:val="-4"/>
                <w:sz w:val="24"/>
                <w:szCs w:val="24"/>
              </w:rPr>
              <w:t xml:space="preserve"> đất (theo ranh giới ông Quyền chỉ trên thực địa) gia đình ông đang sử dụng có nguồn gốc nằm trong ranh giới được nhà nước giao năm 1990 là không có cơ sở. </w:t>
            </w:r>
          </w:p>
          <w:p>
            <w:pPr>
              <w:spacing w:before="40" w:after="40" w:line="240" w:lineRule="auto"/>
              <w:ind w:firstLine="288"/>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Ông Quyền tiếp tục có đơn gửi UBND tỉnh Hà Tĩnh; UBND tỉnh đã thành lập Đoàn kiểm tra, soát xét vụ việc khiếu nại của ông Võ Văn Quyền (Quyết định số 2522/QĐ-UBND ngày 28/9/2023); trên cơ sở kết quả soát xét của Đoàn, ngày 05/12/2023 UBND tỉnh ban hành Văn bản số 6884/UBND-TCD1 về việc xử lý đơn thư của công dân, theo hướng “Giao Chủ tịch UBND thị xã Hồng Lĩnh kiểm tra, soát xét, báo cáo đề xuất Chủ tịch UBND tỉnh quyết định biện pháp hỗ trợ khác theo quy định tại điểm 17 khoản 12 Điều 1 Quyết định 34/2018/QĐ-UBND ngày 02/10/2018 của UBND tỉnh về sửa đổi, bổ sung một số điều của quy định chính sách bồi thường, hỗ trợ, tái định cư khi Nhà nước thu hồi đất trên địa bàn tỉnh Hà Tĩnh đối với các hộ (trong đó có hộ ông Võ Văn Quyền) có điều kiện tương đồng như hộ ông Nguyễn Minh Thưởng để đảm bảo tính công bằng trong thực hiện bồi thường, GPMB giữa các hộ dân bị ảnh hưởng trong cùng một dự án”. </w:t>
            </w:r>
          </w:p>
          <w:p>
            <w:pPr>
              <w:spacing w:before="40" w:after="40" w:line="240" w:lineRule="auto"/>
              <w:ind w:firstLine="288"/>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UBND thị xã Hồng Lĩnh đã trình phương án áp dụng biện pháp hỗ trợ khác (nâng mức hỗ trợ từ 20% lên 50% giá trị bồi thường theo quy định tại Quyết định 34/2018/QĐ-UBND ngày 02/10/2018 của UBND tỉnh) đối với phần tài sản là nhà ở, công trình xây dựng trên đất không hợp pháp thuộc dự án xây dựng kè chống sạt lở hai bờ khe Bình Lạng cho hộ ông Võ Văn Quyền. Ngày 07/3/2025 UBND tỉnh đã tổ chức làm việc với các sở, ngành và UBND thị xã Hồng Lĩnh về việc đề xuất hỗ trợ thêm 30% kinh phí bồi thường tài sản trên đất không hợp pháp cho gia đình ông Võ Văn Quyền; các thành phần dự họp thống nhất đề xuất hỗ trợ thêm 30% để bồi thường, hỗ trợ (Thông báo kết luận số 75/TB-UBND ngày 12/3/2025 của UBND tỉnh).</w:t>
            </w:r>
          </w:p>
          <w:p>
            <w:pPr>
              <w:spacing w:before="40" w:after="40" w:line="240" w:lineRule="auto"/>
              <w:ind w:firstLine="288"/>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Đến thời điểm hiện nay Hội đồng Bồi thường đang tiến hành niêm yết dự thảo phương án bồi thường đối với hộ ông Võ Văn Quyền.</w:t>
            </w:r>
          </w:p>
          <w:p>
            <w:pPr>
              <w:spacing w:before="40" w:after="40" w:line="240" w:lineRule="auto"/>
              <w:ind w:firstLine="288"/>
              <w:jc w:val="both"/>
              <w:rPr>
                <w:rFonts w:ascii="Times New Roman" w:eastAsia="Times New Roman" w:hAnsi="Times New Roman" w:cs="Times New Roman"/>
                <w:spacing w:val="-4"/>
                <w:sz w:val="24"/>
                <w:szCs w:val="24"/>
              </w:rPr>
            </w:pPr>
          </w:p>
        </w:tc>
        <w:tc>
          <w:tcPr>
            <w:tcW w:w="3969" w:type="dxa"/>
          </w:tcPr>
          <w:p>
            <w:pPr>
              <w:spacing w:before="40" w:after="40" w:line="240" w:lineRule="auto"/>
              <w:jc w:val="both"/>
              <w:rPr>
                <w:rFonts w:ascii="Times New Roman" w:eastAsia="Times New Roman" w:hAnsi="Times New Roman" w:cs="Times New Roman"/>
                <w:spacing w:val="-4"/>
                <w:sz w:val="24"/>
                <w:szCs w:val="24"/>
              </w:rPr>
            </w:pPr>
          </w:p>
        </w:tc>
      </w:tr>
      <w:tr>
        <w:tc>
          <w:tcPr>
            <w:tcW w:w="779" w:type="dxa"/>
            <w:gridSpan w:val="2"/>
            <w:vAlign w:val="center"/>
          </w:tcPr>
          <w:p>
            <w:pPr>
              <w:spacing w:before="40" w:after="40" w:line="240" w:lineRule="auto"/>
              <w:jc w:val="center"/>
              <w:rPr>
                <w:rFonts w:ascii="Times New Roman" w:eastAsia="Times New Roman" w:hAnsi="Times New Roman" w:cs="Times New Roman"/>
                <w:b/>
                <w:spacing w:val="-4"/>
                <w:sz w:val="24"/>
                <w:szCs w:val="24"/>
              </w:rPr>
            </w:pPr>
            <w:r>
              <w:rPr>
                <w:rFonts w:ascii="Times New Roman" w:eastAsia="Times New Roman" w:hAnsi="Times New Roman" w:cs="Times New Roman"/>
                <w:b/>
                <w:spacing w:val="-4"/>
                <w:sz w:val="24"/>
                <w:szCs w:val="24"/>
              </w:rPr>
              <w:t>4</w:t>
            </w:r>
          </w:p>
        </w:tc>
        <w:tc>
          <w:tcPr>
            <w:tcW w:w="14644" w:type="dxa"/>
            <w:gridSpan w:val="4"/>
          </w:tcPr>
          <w:p>
            <w:pPr>
              <w:spacing w:before="40" w:after="40" w:line="240" w:lineRule="auto"/>
              <w:ind w:firstLine="288"/>
              <w:jc w:val="both"/>
              <w:rPr>
                <w:rFonts w:ascii="Times New Roman" w:eastAsia="Times New Roman" w:hAnsi="Times New Roman" w:cs="Times New Roman"/>
                <w:spacing w:val="-4"/>
                <w:sz w:val="24"/>
                <w:szCs w:val="24"/>
              </w:rPr>
            </w:pPr>
            <w:r>
              <w:rPr>
                <w:rFonts w:ascii="Times New Roman" w:eastAsia="Times New Roman" w:hAnsi="Times New Roman" w:cs="Times New Roman"/>
                <w:b/>
                <w:spacing w:val="-4"/>
                <w:sz w:val="24"/>
                <w:szCs w:val="24"/>
                <w:lang w:val="vi-VN"/>
              </w:rPr>
              <w:t xml:space="preserve">Vụ việc tố cáo đã được </w:t>
            </w:r>
            <w:r>
              <w:rPr>
                <w:rFonts w:ascii="Times New Roman" w:eastAsia="Times New Roman" w:hAnsi="Times New Roman" w:cs="Times New Roman"/>
                <w:b/>
                <w:spacing w:val="-4"/>
                <w:sz w:val="24"/>
                <w:szCs w:val="24"/>
              </w:rPr>
              <w:t xml:space="preserve">cấp ủy, </w:t>
            </w:r>
            <w:r>
              <w:rPr>
                <w:rFonts w:ascii="Times New Roman" w:eastAsia="Times New Roman" w:hAnsi="Times New Roman" w:cs="Times New Roman"/>
                <w:b/>
                <w:spacing w:val="-4"/>
                <w:sz w:val="24"/>
                <w:szCs w:val="24"/>
                <w:lang w:val="vi-VN"/>
              </w:rPr>
              <w:t xml:space="preserve">chính quyền địa phương </w:t>
            </w:r>
            <w:r>
              <w:rPr>
                <w:rFonts w:ascii="Times New Roman" w:eastAsia="Times New Roman" w:hAnsi="Times New Roman" w:cs="Times New Roman"/>
                <w:b/>
                <w:spacing w:val="-4"/>
                <w:sz w:val="24"/>
                <w:szCs w:val="24"/>
              </w:rPr>
              <w:t xml:space="preserve">chỉ đạo </w:t>
            </w:r>
            <w:r>
              <w:rPr>
                <w:rFonts w:ascii="Times New Roman" w:eastAsia="Times New Roman" w:hAnsi="Times New Roman" w:cs="Times New Roman"/>
                <w:b/>
                <w:spacing w:val="-4"/>
                <w:sz w:val="24"/>
                <w:szCs w:val="24"/>
                <w:lang w:val="vi-VN"/>
              </w:rPr>
              <w:t>giải quyết đúng thẩm quyền, trình tự, thủ tục theo quy định của pháp luật, nhưng công dân vẫn tiếp tục tố cáo</w:t>
            </w:r>
          </w:p>
        </w:tc>
      </w:tr>
      <w:tr>
        <w:tc>
          <w:tcPr>
            <w:tcW w:w="779" w:type="dxa"/>
            <w:gridSpan w:val="2"/>
            <w:vAlign w:val="center"/>
          </w:tcPr>
          <w:p>
            <w:pPr>
              <w:spacing w:before="40" w:after="40" w:line="240" w:lineRule="auto"/>
              <w:jc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4.1</w:t>
            </w:r>
          </w:p>
        </w:tc>
        <w:tc>
          <w:tcPr>
            <w:tcW w:w="3473" w:type="dxa"/>
            <w:vAlign w:val="center"/>
          </w:tcPr>
          <w:p>
            <w:pPr>
              <w:spacing w:before="40" w:after="40" w:line="240" w:lineRule="auto"/>
              <w:ind w:firstLine="219"/>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lang w:val="vi-VN"/>
              </w:rPr>
              <w:t xml:space="preserve">Vụ </w:t>
            </w:r>
            <w:r>
              <w:rPr>
                <w:rFonts w:ascii="Times New Roman" w:eastAsia="Times New Roman" w:hAnsi="Times New Roman" w:cs="Times New Roman"/>
                <w:spacing w:val="-4"/>
                <w:sz w:val="24"/>
                <w:szCs w:val="24"/>
              </w:rPr>
              <w:t>việc công dân xã Hòa Hải tố cáo UBND xã Hòa Hải và các ông: Nguyễn Đăng Phú, Chủ tịch UBND xã Hòa Hải; Phạm Đình Thái, Phó Chủ tịch UBND xã Hòa Hải có các hành vi vi phạm pháp luật trong thực thi công vụ.</w:t>
            </w:r>
          </w:p>
        </w:tc>
        <w:tc>
          <w:tcPr>
            <w:tcW w:w="710" w:type="dxa"/>
            <w:vAlign w:val="center"/>
          </w:tcPr>
          <w:p>
            <w:pPr>
              <w:spacing w:before="40" w:after="40" w:line="240" w:lineRule="auto"/>
              <w:jc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2022</w:t>
            </w:r>
          </w:p>
        </w:tc>
        <w:tc>
          <w:tcPr>
            <w:tcW w:w="6492" w:type="dxa"/>
            <w:vAlign w:val="center"/>
          </w:tcPr>
          <w:p>
            <w:pPr>
              <w:spacing w:before="40" w:after="40" w:line="240" w:lineRule="auto"/>
              <w:ind w:firstLine="288"/>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Chủ tịch UBND huyện Hương Khê đã thụ lý tố cáo và ban hành Kết luận số 91/KL-UBND, ngày 07/6/2022. Không đồng tình kết quả giải quyết của UBND huyện, công dân tiếp tục có đơn gửi UBND tỉnh và được Thanh tra tỉnh soát xét, trả lời công dân tại Văn bản số 33/TT-NV1m ngày 10/6/2024, theo đó khẳng định nội dung giải quyết của Chủ tịch UBND huyện Hương Khê là đúng quy định  của pháp luật</w:t>
            </w:r>
          </w:p>
        </w:tc>
        <w:tc>
          <w:tcPr>
            <w:tcW w:w="3969" w:type="dxa"/>
            <w:vAlign w:val="center"/>
          </w:tcPr>
          <w:p>
            <w:pPr>
              <w:spacing w:before="40" w:after="40" w:line="240" w:lineRule="auto"/>
              <w:jc w:val="both"/>
              <w:rPr>
                <w:rFonts w:ascii="Times New Roman" w:eastAsia="Times New Roman" w:hAnsi="Times New Roman" w:cs="Times New Roman"/>
                <w:spacing w:val="-4"/>
                <w:sz w:val="24"/>
                <w:szCs w:val="24"/>
              </w:rPr>
            </w:pPr>
          </w:p>
        </w:tc>
      </w:tr>
      <w:tr>
        <w:trPr>
          <w:trHeight w:val="495"/>
        </w:trPr>
        <w:tc>
          <w:tcPr>
            <w:tcW w:w="779" w:type="dxa"/>
            <w:gridSpan w:val="2"/>
            <w:vAlign w:val="center"/>
          </w:tcPr>
          <w:p>
            <w:pPr>
              <w:spacing w:before="40" w:after="40" w:line="240" w:lineRule="auto"/>
              <w:jc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4.2</w:t>
            </w:r>
          </w:p>
        </w:tc>
        <w:tc>
          <w:tcPr>
            <w:tcW w:w="3473" w:type="dxa"/>
            <w:vAlign w:val="center"/>
          </w:tcPr>
          <w:p>
            <w:pPr>
              <w:spacing w:before="40" w:after="40" w:line="240" w:lineRule="auto"/>
              <w:ind w:firstLine="219"/>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Vụ việc bà Kiều Thị Thanh, trú tại tổ dân phố Trung Hậu, phường Trung Lương, thị xã Hồng Lĩnh: liên quan đến việc tranh chấp lối đi vào nhà bà với gia đình bà Kiều Thị Hóa, bà Thanh tố cáo cán bộ địa chính đã làm sai lệch hồ sơ đo đạc; các kiến nghị, tố cáo liên quan đến việc lập hồ sơ cấp giấy CNQSD đất tại thửa số 23, tờ bản đồ số 25 mà bà Kiều Thị Hóa đang sử dụng.</w:t>
            </w:r>
          </w:p>
        </w:tc>
        <w:tc>
          <w:tcPr>
            <w:tcW w:w="710" w:type="dxa"/>
            <w:vAlign w:val="center"/>
          </w:tcPr>
          <w:p>
            <w:pPr>
              <w:spacing w:before="40" w:after="40" w:line="240" w:lineRule="auto"/>
              <w:jc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2015</w:t>
            </w:r>
          </w:p>
        </w:tc>
        <w:tc>
          <w:tcPr>
            <w:tcW w:w="6492" w:type="dxa"/>
            <w:vAlign w:val="center"/>
          </w:tcPr>
          <w:p>
            <w:pPr>
              <w:spacing w:before="40" w:after="40" w:line="240" w:lineRule="auto"/>
              <w:ind w:firstLine="288"/>
              <w:jc w:val="both"/>
              <w:rPr>
                <w:rFonts w:ascii="Times New Roman" w:eastAsia="Times New Roman" w:hAnsi="Times New Roman" w:cs="Times New Roman"/>
                <w:iCs/>
                <w:spacing w:val="-4"/>
                <w:sz w:val="24"/>
                <w:szCs w:val="24"/>
              </w:rPr>
            </w:pPr>
            <w:r>
              <w:rPr>
                <w:rFonts w:ascii="Times New Roman" w:eastAsia="Times New Roman" w:hAnsi="Times New Roman" w:cs="Times New Roman"/>
                <w:spacing w:val="-4"/>
                <w:sz w:val="24"/>
                <w:szCs w:val="24"/>
              </w:rPr>
              <w:t xml:space="preserve">Nội dung đã được UBND thị xã Hồng Lĩnh xem xét, giải quyết nhiều lần nhưng </w:t>
            </w:r>
            <w:r>
              <w:rPr>
                <w:rFonts w:ascii="Times New Roman" w:eastAsia="Calibri" w:hAnsi="Times New Roman" w:cs="Times New Roman"/>
                <w:spacing w:val="-4"/>
                <w:sz w:val="24"/>
                <w:szCs w:val="24"/>
                <w:lang w:val="es-ES"/>
              </w:rPr>
              <w:t>bà Thanh không đồng ý với kết quả giải quyết và tiếp tục gửi đơn đến nhiều cấp, nhiều ngành</w:t>
            </w:r>
            <w:r>
              <w:rPr>
                <w:rFonts w:ascii="Times New Roman" w:eastAsia="Aptos" w:hAnsi="Times New Roman" w:cs="Times New Roman"/>
                <w:spacing w:val="-4"/>
                <w:kern w:val="2"/>
                <w:sz w:val="24"/>
                <w:szCs w:val="24"/>
              </w:rPr>
              <w:t xml:space="preserve">. </w:t>
            </w:r>
            <w:r>
              <w:rPr>
                <w:rFonts w:ascii="Times New Roman" w:eastAsia="Calibri" w:hAnsi="Times New Roman" w:cs="Times New Roman"/>
                <w:spacing w:val="-4"/>
                <w:sz w:val="24"/>
                <w:szCs w:val="24"/>
                <w:lang w:val="es-ES"/>
              </w:rPr>
              <w:t>Nội dung trong các đơn bà Thanh gửi không có các tình tiết, chứng cứ mới, do đó UBND thị xã Hồng Lĩnh đã ban hành Thông báo số 171/TB-UBND ngày 28/6/2022, Thông báo số 257/TB-UBND ngày 23/9/2022 về việc không tiếp nhận và</w:t>
            </w:r>
            <w:r>
              <w:rPr>
                <w:rFonts w:ascii="Times New Roman" w:eastAsia="Times New Roman" w:hAnsi="Times New Roman" w:cs="Times New Roman"/>
                <w:iCs/>
                <w:spacing w:val="-4"/>
                <w:sz w:val="24"/>
                <w:szCs w:val="24"/>
              </w:rPr>
              <w:t xml:space="preserve"> thụ lý giải quyết các đơn thư của bà Kiều Thị Thanh liên quan đến các nội dung đã được trả lời, giải quyết.</w:t>
            </w:r>
          </w:p>
        </w:tc>
        <w:tc>
          <w:tcPr>
            <w:tcW w:w="3969" w:type="dxa"/>
            <w:vAlign w:val="center"/>
          </w:tcPr>
          <w:p>
            <w:pPr>
              <w:spacing w:before="40" w:after="40" w:line="240" w:lineRule="auto"/>
              <w:jc w:val="both"/>
              <w:rPr>
                <w:rFonts w:ascii="Times New Roman" w:eastAsia="Times New Roman" w:hAnsi="Times New Roman" w:cs="Times New Roman"/>
                <w:spacing w:val="-4"/>
                <w:sz w:val="24"/>
                <w:szCs w:val="24"/>
              </w:rPr>
            </w:pPr>
          </w:p>
        </w:tc>
      </w:tr>
      <w:tr>
        <w:tc>
          <w:tcPr>
            <w:tcW w:w="779" w:type="dxa"/>
            <w:gridSpan w:val="2"/>
            <w:vAlign w:val="center"/>
          </w:tcPr>
          <w:p>
            <w:pPr>
              <w:spacing w:before="40" w:after="40" w:line="240" w:lineRule="auto"/>
              <w:jc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4.3</w:t>
            </w:r>
          </w:p>
        </w:tc>
        <w:tc>
          <w:tcPr>
            <w:tcW w:w="3473" w:type="dxa"/>
            <w:vAlign w:val="center"/>
          </w:tcPr>
          <w:p>
            <w:pPr>
              <w:spacing w:before="40" w:after="40" w:line="240" w:lineRule="auto"/>
              <w:ind w:firstLine="219"/>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Bà Nguyễn Thị Phúc, tổ dân phố 1, phường Bắc Hồng, thị xã Hồng Lĩnh: khiếu nại liên quan đến thửa đất do UBND thị xã Hồng Lĩnh giao cho ông Phan Đăng Ngụ </w:t>
            </w:r>
            <w:r>
              <w:rPr>
                <w:rFonts w:ascii="Times New Roman" w:eastAsia="Times New Roman" w:hAnsi="Times New Roman" w:cs="Times New Roman"/>
                <w:i/>
                <w:spacing w:val="-4"/>
                <w:sz w:val="24"/>
                <w:szCs w:val="24"/>
              </w:rPr>
              <w:t>(bố chồng của bà Phúc)</w:t>
            </w:r>
            <w:r>
              <w:rPr>
                <w:rFonts w:ascii="Times New Roman" w:eastAsia="Times New Roman" w:hAnsi="Times New Roman" w:cs="Times New Roman"/>
                <w:spacing w:val="-4"/>
                <w:sz w:val="24"/>
                <w:szCs w:val="24"/>
              </w:rPr>
              <w:t xml:space="preserve"> tại Quyết định số 277 GP/UB ngày 09/8/1993 mà nay gia đình không xác định được đất trên thực địa và không đủ cơ sở pháp lý để đòi đất</w:t>
            </w:r>
          </w:p>
        </w:tc>
        <w:tc>
          <w:tcPr>
            <w:tcW w:w="710" w:type="dxa"/>
            <w:vAlign w:val="center"/>
          </w:tcPr>
          <w:p>
            <w:pPr>
              <w:spacing w:before="40" w:after="40" w:line="240" w:lineRule="auto"/>
              <w:jc w:val="center"/>
              <w:rPr>
                <w:rFonts w:ascii="Times New Roman" w:eastAsia="Times New Roman" w:hAnsi="Times New Roman" w:cs="Times New Roman"/>
                <w:spacing w:val="-4"/>
                <w:sz w:val="24"/>
                <w:szCs w:val="24"/>
              </w:rPr>
            </w:pPr>
          </w:p>
        </w:tc>
        <w:tc>
          <w:tcPr>
            <w:tcW w:w="6492" w:type="dxa"/>
            <w:vAlign w:val="center"/>
          </w:tcPr>
          <w:p>
            <w:pPr>
              <w:spacing w:before="40" w:after="40" w:line="240" w:lineRule="auto"/>
              <w:ind w:firstLine="288"/>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UBND thị xã Hồng Lĩnh đã rà soát, kiểm tra và trả lời cho bà Nguyễn Thị Phúc tại Văn bản số 20/UBND-TT ngày 04/01/2024, với nội dung: các nội dung kiến nghị của bà Nguyễn Thị Phúc liên quan đến thửa đất theo Quyết định số 277 GP/UB ngày 09/8/1993 do UBND thị xã Hồng Lĩnh giao cho ông Phan Đăng Ngụ đã được UBND thị xã trả lời tại Văn bản số 1069/UBND-TNMT ngày 19/9/2018. C</w:t>
            </w:r>
            <w:r>
              <w:rPr>
                <w:rFonts w:ascii="Times New Roman" w:eastAsia="Times New Roman" w:hAnsi="Times New Roman" w:cs="Times New Roman"/>
                <w:iCs/>
                <w:spacing w:val="-4"/>
                <w:sz w:val="24"/>
                <w:szCs w:val="24"/>
                <w:shd w:val="clear" w:color="auto" w:fill="FFFFFF"/>
              </w:rPr>
              <w:t xml:space="preserve">ăn cứ Luật Khiếu nại và các văn bản hướng dẫn thi hành thì nội dung khiếu nại của bà Nguyễn Thị Phúc là chưa đủ điều kiện thụ lý giải quyết. Lý do: bà Nguyễn Thị Phúc không cung cấp được giấy tờ pháp lý chứng minh quyền lợi và nghĩa vụ </w:t>
            </w:r>
            <w:r>
              <w:rPr>
                <w:rFonts w:ascii="Times New Roman" w:eastAsia="Times New Roman" w:hAnsi="Times New Roman" w:cs="Times New Roman"/>
                <w:spacing w:val="-4"/>
                <w:sz w:val="24"/>
                <w:szCs w:val="24"/>
              </w:rPr>
              <w:t xml:space="preserve">liên quan đến thửa đất do UBND thị xã Hồng Lĩnh giao cho ông Phan Đăng Ngụ </w:t>
            </w:r>
            <w:r>
              <w:rPr>
                <w:rFonts w:ascii="Times New Roman" w:eastAsia="Times New Roman" w:hAnsi="Times New Roman" w:cs="Times New Roman"/>
                <w:i/>
                <w:spacing w:val="-4"/>
                <w:sz w:val="24"/>
                <w:szCs w:val="24"/>
              </w:rPr>
              <w:t>(bố chồng của bà Phúc)</w:t>
            </w:r>
            <w:r>
              <w:rPr>
                <w:rFonts w:ascii="Times New Roman" w:eastAsia="Times New Roman" w:hAnsi="Times New Roman" w:cs="Times New Roman"/>
                <w:spacing w:val="-4"/>
                <w:sz w:val="24"/>
                <w:szCs w:val="24"/>
              </w:rPr>
              <w:t xml:space="preserve"> tại Quyết định số 277 GP/UB ngày 09/8/1993. </w:t>
            </w:r>
          </w:p>
        </w:tc>
        <w:tc>
          <w:tcPr>
            <w:tcW w:w="3969" w:type="dxa"/>
            <w:vAlign w:val="center"/>
          </w:tcPr>
          <w:p>
            <w:pPr>
              <w:spacing w:before="40" w:after="40" w:line="240" w:lineRule="auto"/>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Hiện nay bà Nguyễn Thị Phúc tiếp tục gửi đơn tố cáo hành vi sử dụng con dấu, tài liệu giả của cơ quan nhà nước, cố ý làm sai lệch thông tin, tài liệu hồ sơ việc khiếu nại trong cấp, giao đất cho ông Tuệ và ông Ngụ đến Công an tỉnh Hà Tĩnh.</w:t>
            </w:r>
          </w:p>
        </w:tc>
      </w:tr>
      <w:tr>
        <w:tc>
          <w:tcPr>
            <w:tcW w:w="779" w:type="dxa"/>
            <w:gridSpan w:val="2"/>
            <w:vAlign w:val="center"/>
          </w:tcPr>
          <w:p>
            <w:pPr>
              <w:spacing w:before="40" w:after="40" w:line="240" w:lineRule="auto"/>
              <w:jc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4</w:t>
            </w:r>
            <w:r>
              <w:rPr>
                <w:rFonts w:ascii="Times New Roman" w:eastAsia="Times New Roman" w:hAnsi="Times New Roman" w:cs="Times New Roman"/>
                <w:spacing w:val="-4"/>
                <w:sz w:val="24"/>
                <w:szCs w:val="24"/>
                <w:lang w:val="vi-VN"/>
              </w:rPr>
              <w:t>.</w:t>
            </w:r>
            <w:r>
              <w:rPr>
                <w:rFonts w:ascii="Times New Roman" w:eastAsia="Times New Roman" w:hAnsi="Times New Roman" w:cs="Times New Roman"/>
                <w:spacing w:val="-4"/>
                <w:sz w:val="24"/>
                <w:szCs w:val="24"/>
              </w:rPr>
              <w:t>4</w:t>
            </w:r>
          </w:p>
        </w:tc>
        <w:tc>
          <w:tcPr>
            <w:tcW w:w="3473" w:type="dxa"/>
            <w:vAlign w:val="center"/>
          </w:tcPr>
          <w:p>
            <w:pPr>
              <w:spacing w:before="40" w:after="40" w:line="240" w:lineRule="auto"/>
              <w:ind w:firstLine="219"/>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Vụ việc tố cáo của công dân liên quan đến thực hiện đền bù, GPMB đất của hộ ông Hồ Văn Toán, ở khối phố 1, phường Đại Nài bị ảnh hưởng bởi dự án củng cố, nâng cấp đê phía Tây bờ tả sông Phủ, đoạn từ cầu Nủi đến cầu Phủ. </w:t>
            </w:r>
          </w:p>
        </w:tc>
        <w:tc>
          <w:tcPr>
            <w:tcW w:w="710" w:type="dxa"/>
            <w:vAlign w:val="center"/>
          </w:tcPr>
          <w:p>
            <w:pPr>
              <w:spacing w:before="40" w:after="40" w:line="240" w:lineRule="auto"/>
              <w:jc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2017</w:t>
            </w:r>
          </w:p>
        </w:tc>
        <w:tc>
          <w:tcPr>
            <w:tcW w:w="6492" w:type="dxa"/>
          </w:tcPr>
          <w:p>
            <w:pPr>
              <w:spacing w:before="40" w:after="40" w:line="240" w:lineRule="auto"/>
              <w:ind w:firstLine="288"/>
              <w:jc w:val="both"/>
              <w:rPr>
                <w:rFonts w:ascii="Times New Roman" w:eastAsia="Times New Roman" w:hAnsi="Times New Roman" w:cs="Times New Roman"/>
                <w:spacing w:val="-4"/>
                <w:sz w:val="24"/>
                <w:szCs w:val="24"/>
              </w:rPr>
            </w:pPr>
            <w:r>
              <w:rPr>
                <w:rFonts w:ascii="Times New Roman" w:eastAsia="Calibri" w:hAnsi="Times New Roman" w:cs="Times New Roman"/>
                <w:spacing w:val="-4"/>
                <w:sz w:val="24"/>
                <w:szCs w:val="24"/>
              </w:rPr>
              <w:t xml:space="preserve">Năm 2017, UBND thành phố đã ban hành Thông báo không thụ lý tố cáo của công dân; có nhiều văn bản xin ý kiến về phương án xử lý liên quan đến việc bồi thường đối với hộ ông Hồ Văn Toán; UBND thành phố Hà Tĩnh đã thành lập Tổ rà soát và đã ban hành Quyết định điều chỉnh phương án bồi thường, nhưng ông Hồ Văn Toán và Nhân dân còn phản ánh. Vì vậy, để giải quyết dứt điểm việc bồi thường GPMB để triển khai dự án, UBND thành phố Hà Tĩnh đã thành lập Đoàn thanh tra và ban hành Kết luận thanh tra số 931/KL-UBND ngày 09/9/2024. Đến nay, UBND thành phố Hà Tĩnh đã hủy các phương án bồi thường trước đó để lập lại hồ sơ theo đúng quy định (phương án bồi thường về đất nông nghiệp cho ông Hồ Văn Toán). Hội đồng bồi thường đã tiến hành kiểm đếm lần 02 nhưng ông Toán không phối hợp. Ngày 18/4/2025, Chủ tịch UBND thành phố đã ban hành Quyết định số 1511/QĐ-UBND về việc kiểm đếm bắt buộc đối với ông Hồ Văn Toán. Ngày 25/4/2025, Hội đồng bồi thường, hỗ trợ tái định cư dự án đã phối hợp với các phòng, ban, đơn vị liên quan tiến hành kiểm đếm bắt buộc. Ngày 28/4/2025, Hội đồng bồi thường đã có Văn bản số 60/HĐBT giao UBND phường Đại Nài xác định nhân khẩu, đối tượng chính sách, tổng diện tích nông nghiệp của hộ gia đình có đất bị ảnh hưởng bởi dự án để làm cơ sở lập phương án bồi thường, hỗ trợ theo quy định. Căn cứ Luật Đất đai năm 2024, Nghị định 102/2024/NĐ-CP ngày 30/7/2024 của Chính phủ; ngày 19/5/2025, Hội đồng bồi thường, hỗ trợ, tái định cư dự án đã ban hành Thông báo số 79/TB-HĐBT về việc niêm yết công khai phương án bồi thường, hỗ trợ, giải phóng mặt bằng của ông Hồ Văn Toán có đất bị ảnh hưởng bởi dự án </w:t>
            </w:r>
            <w:r>
              <w:rPr>
                <w:rFonts w:ascii="Times New Roman" w:eastAsia="Calibri" w:hAnsi="Times New Roman" w:cs="Times New Roman"/>
                <w:color w:val="000000"/>
                <w:spacing w:val="-4"/>
                <w:sz w:val="24"/>
                <w:szCs w:val="24"/>
              </w:rPr>
              <w:t>(hiện nay chưa hết thời gian niêm yết - thời gian niêm yết từ ngày 19/5/2025 đến ngày 19/6/2025). Sau khi kết thúc niêm yết phương án, Hội đồng bồi thường sẽ phối hợp với UBND phường tổ chức đối thoại với hộ ông Toán; hoàn thiện hồ sơ trình thẩm định, phê duyệt phương án bồi thường theo quy định; trường hợp ông Hồ Văn Toán không thống nhất thì tiến hành cưỡng chế để triển khai thực hiện dự án.</w:t>
            </w:r>
            <w:r>
              <w:rPr>
                <w:rFonts w:ascii="Times New Roman" w:eastAsia="Calibri" w:hAnsi="Times New Roman" w:cs="Times New Roman"/>
                <w:spacing w:val="-4"/>
                <w:sz w:val="24"/>
                <w:szCs w:val="24"/>
              </w:rPr>
              <w:t xml:space="preserve">    </w:t>
            </w:r>
          </w:p>
        </w:tc>
        <w:tc>
          <w:tcPr>
            <w:tcW w:w="3969" w:type="dxa"/>
            <w:vAlign w:val="center"/>
          </w:tcPr>
          <w:p>
            <w:pPr>
              <w:spacing w:before="40" w:after="40" w:line="240" w:lineRule="auto"/>
              <w:jc w:val="both"/>
              <w:rPr>
                <w:rFonts w:ascii="Times New Roman" w:eastAsia="Times New Roman" w:hAnsi="Times New Roman" w:cs="Times New Roman"/>
                <w:spacing w:val="-4"/>
                <w:sz w:val="24"/>
                <w:szCs w:val="24"/>
              </w:rPr>
            </w:pPr>
          </w:p>
          <w:p>
            <w:pPr>
              <w:spacing w:before="40" w:after="40" w:line="240" w:lineRule="auto"/>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Nhận định sẽ còn phát sinh khiếu kiện do công dân chưa đồng tình phương án và tiếp tục có khiếu kiện</w:t>
            </w:r>
          </w:p>
        </w:tc>
      </w:tr>
      <w:tr>
        <w:tc>
          <w:tcPr>
            <w:tcW w:w="779" w:type="dxa"/>
            <w:gridSpan w:val="2"/>
            <w:vAlign w:val="center"/>
          </w:tcPr>
          <w:p>
            <w:pPr>
              <w:spacing w:before="40" w:after="40" w:line="240" w:lineRule="auto"/>
              <w:jc w:val="center"/>
              <w:rPr>
                <w:rFonts w:ascii="Times New Roman" w:eastAsia="Times New Roman" w:hAnsi="Times New Roman" w:cs="Times New Roman"/>
                <w:b/>
                <w:spacing w:val="-4"/>
                <w:sz w:val="24"/>
                <w:szCs w:val="24"/>
              </w:rPr>
            </w:pPr>
            <w:r>
              <w:rPr>
                <w:rFonts w:ascii="Times New Roman" w:eastAsia="Times New Roman" w:hAnsi="Times New Roman" w:cs="Times New Roman"/>
                <w:b/>
                <w:spacing w:val="-4"/>
                <w:sz w:val="24"/>
                <w:szCs w:val="24"/>
              </w:rPr>
              <w:t>5</w:t>
            </w:r>
          </w:p>
        </w:tc>
        <w:tc>
          <w:tcPr>
            <w:tcW w:w="14644" w:type="dxa"/>
            <w:gridSpan w:val="4"/>
            <w:vAlign w:val="center"/>
          </w:tcPr>
          <w:p>
            <w:pPr>
              <w:spacing w:before="40" w:after="40" w:line="240" w:lineRule="auto"/>
              <w:jc w:val="both"/>
              <w:rPr>
                <w:rFonts w:ascii="Times New Roman" w:eastAsia="Times New Roman" w:hAnsi="Times New Roman" w:cs="Times New Roman"/>
                <w:b/>
                <w:spacing w:val="-4"/>
                <w:sz w:val="24"/>
                <w:szCs w:val="24"/>
              </w:rPr>
            </w:pPr>
            <w:r>
              <w:rPr>
                <w:rFonts w:ascii="Times New Roman" w:eastAsia="Times New Roman" w:hAnsi="Times New Roman" w:cs="Times New Roman"/>
                <w:b/>
                <w:spacing w:val="-4"/>
                <w:sz w:val="24"/>
                <w:szCs w:val="24"/>
              </w:rPr>
              <w:t>Các vụ việc tồn đọng, phức tạp, kéo dài đang được giải quyết</w:t>
            </w:r>
          </w:p>
        </w:tc>
      </w:tr>
      <w:tr>
        <w:trPr>
          <w:trHeight w:val="1977"/>
        </w:trPr>
        <w:tc>
          <w:tcPr>
            <w:tcW w:w="779" w:type="dxa"/>
            <w:gridSpan w:val="2"/>
            <w:vAlign w:val="center"/>
          </w:tcPr>
          <w:p>
            <w:pPr>
              <w:spacing w:before="40" w:after="40" w:line="240" w:lineRule="auto"/>
              <w:jc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5.1</w:t>
            </w:r>
          </w:p>
        </w:tc>
        <w:tc>
          <w:tcPr>
            <w:tcW w:w="3473" w:type="dxa"/>
            <w:vAlign w:val="center"/>
          </w:tcPr>
          <w:p>
            <w:pPr>
              <w:spacing w:before="40" w:after="40" w:line="240" w:lineRule="auto"/>
              <w:ind w:firstLine="219"/>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Ông Phạm Văn Nữu, xã Xuân Hồng: đề nghị thi hành án phần đất mà TAND tỉnh đã phân chia theo Bản án số 18/2010/LHPT ngày 6/10/2010: </w:t>
            </w:r>
          </w:p>
        </w:tc>
        <w:tc>
          <w:tcPr>
            <w:tcW w:w="710" w:type="dxa"/>
          </w:tcPr>
          <w:p>
            <w:pPr>
              <w:spacing w:before="40" w:after="40" w:line="240" w:lineRule="auto"/>
              <w:jc w:val="center"/>
              <w:rPr>
                <w:rFonts w:ascii="Times New Roman" w:eastAsia="Times New Roman" w:hAnsi="Times New Roman" w:cs="Times New Roman"/>
                <w:spacing w:val="-4"/>
                <w:sz w:val="24"/>
                <w:szCs w:val="24"/>
              </w:rPr>
            </w:pPr>
          </w:p>
          <w:p>
            <w:pPr>
              <w:spacing w:before="40" w:after="40" w:line="240" w:lineRule="auto"/>
              <w:jc w:val="center"/>
              <w:rPr>
                <w:rFonts w:ascii="Times New Roman" w:eastAsia="Times New Roman" w:hAnsi="Times New Roman" w:cs="Times New Roman"/>
                <w:spacing w:val="-4"/>
                <w:sz w:val="24"/>
                <w:szCs w:val="24"/>
              </w:rPr>
            </w:pPr>
          </w:p>
          <w:p>
            <w:pPr>
              <w:spacing w:before="40" w:after="40" w:line="240" w:lineRule="auto"/>
              <w:jc w:val="center"/>
              <w:rPr>
                <w:rFonts w:ascii="Times New Roman" w:eastAsia="Times New Roman" w:hAnsi="Times New Roman" w:cs="Times New Roman"/>
                <w:spacing w:val="-4"/>
                <w:sz w:val="24"/>
                <w:szCs w:val="24"/>
              </w:rPr>
            </w:pPr>
          </w:p>
          <w:p>
            <w:pPr>
              <w:spacing w:before="40" w:after="40" w:line="240" w:lineRule="auto"/>
              <w:jc w:val="center"/>
              <w:rPr>
                <w:rFonts w:ascii="Times New Roman" w:eastAsia="Times New Roman" w:hAnsi="Times New Roman" w:cs="Times New Roman"/>
                <w:spacing w:val="-4"/>
                <w:sz w:val="24"/>
                <w:szCs w:val="24"/>
              </w:rPr>
            </w:pPr>
          </w:p>
          <w:p>
            <w:pPr>
              <w:spacing w:before="40" w:after="40" w:line="240" w:lineRule="auto"/>
              <w:jc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2010</w:t>
            </w:r>
          </w:p>
        </w:tc>
        <w:tc>
          <w:tcPr>
            <w:tcW w:w="6492" w:type="dxa"/>
          </w:tcPr>
          <w:p>
            <w:pPr>
              <w:spacing w:before="40" w:after="40" w:line="240" w:lineRule="auto"/>
              <w:ind w:firstLine="288"/>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Việc triển khai thực hiện Bán án số 18/20210/LHPT ngày 06/10/2010 của TAND tỉnh gặp rất nhiều khăn do phần đất đai chia theo Bản án đã được bà Quyền (vợ cũ của ông Phạm Văn Nữu) xây dựng nhà kiên cố; UBND huyện có Văn bản số 320/UBND-TNMT ngày 02/3/2020 xin ý kiến UBND tỉnh về việc giải quyết cấp đất, giao đất có thu tiền, không thông qua hình thức đấu giá cho ông Phạm Văn Nữu và đã được UBND tỉnh chỉ đạo tại Văn bản số 1528/UBND-TCD ngày 18/3/2020. UBND huyện đã chỉ đạo UBND Xuân Hồng lập Quy hoạch đất ở khu dân cư, được cấp có thẩm quyền phê duyệt; tổ chức làm việc và thống nhất tạm giao cho ông Phạm Văn Nữu lô đất số 23, diện tích 229,1m2, tờ bản đồ số 10 bản đồ địa chính thuộc vùng quy hoạch xen dắm đất ở dân cư khu vực Đồng Vạn, thôn 1, xã Xuân Hồng (thể hiện tại Biên bản tạm giao đất lập ngày 15/4/2020); quá trình GPMB và chi trả tiền cho các hộ, Kho bạc Nhà nước không cho giải ngân, với lý do UBND xã không đủ thẩm quyền tổ chức thực hiện bồi thường, GPMB; đến ngày 15/10/2021, ông Phạm Văn Nữu chết nên việc lập hồ sơ giao đất, cấp giấy GNQSD đất cho ông không thể thực hiện được.</w:t>
            </w:r>
          </w:p>
          <w:p>
            <w:pPr>
              <w:spacing w:before="40" w:after="40" w:line="240" w:lineRule="auto"/>
              <w:ind w:firstLine="288"/>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Thực hiện ý kiến chỉ đạo của UBND tỉnh tại các Văn bản: số 1136/UBND-TCD1 ngày 05/3/2024, số 2192/UBND-TCD1 ngày 22/4/2024 và hướng dẫn của Sở Tài nguyên và Môi trường tại Văn bản số 783/STNMT-ĐĐ1 ngày 26/02/2024, UBND huyện Nghi Xuân đã giao các phòng chuyên môn, UBND xã Xuân Hồng rà soát tất cả các đối tượng là những người có quyền lợi và nghĩa vụ liên quan của gia đình ông Phạm Văn Nữu nhưng không có đối tượng nào đủ điều kiện để thực hiện giao đất theo Quyết định số 37/2020/QĐ-UBND ngày 01/12/2020 của UBND tỉnh. UBND huyện đã có báo cáo số 2315/UBND-TNMT ngày 16/5/2024 tiếp tục xin ý kiến chỉ đạo của UBND tỉnh.</w:t>
            </w:r>
          </w:p>
          <w:p>
            <w:pPr>
              <w:spacing w:before="40" w:after="40" w:line="240" w:lineRule="auto"/>
              <w:ind w:firstLine="288"/>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UBND tỉnh Hà Tĩnh tiếp tục có Văn bản số 4019/UBND-TCD1 ngày 12/7/2024 giao UBND huyện Nghi Xuân, các sở, ngành, địa phương liên quan nghiên cứu có phương án giải quyết dứt điểm vụ việc. UBND huyện đã báo cáo UBND tỉnh tại Báo cáo số 5536/UBND-TNMT ngày 09/10/2024, trong đó: </w:t>
            </w:r>
          </w:p>
          <w:p>
            <w:pPr>
              <w:spacing w:before="40" w:after="40" w:line="240" w:lineRule="auto"/>
              <w:ind w:firstLine="288"/>
              <w:jc w:val="both"/>
              <w:rPr>
                <w:rFonts w:ascii="Times New Roman" w:eastAsia="Times New Roman" w:hAnsi="Times New Roman" w:cs="Times New Roman"/>
                <w:spacing w:val="-4"/>
                <w:sz w:val="24"/>
                <w:szCs w:val="24"/>
              </w:rPr>
            </w:pPr>
            <w:r>
              <w:rPr>
                <w:rFonts w:ascii="Times New Roman" w:eastAsia="Calibri" w:hAnsi="Times New Roman" w:cs="Times New Roman"/>
                <w:bCs/>
                <w:spacing w:val="-4"/>
                <w:sz w:val="24"/>
                <w:szCs w:val="24"/>
              </w:rPr>
              <w:t xml:space="preserve">Tại buổi làm việc ngày 10/5/2024 các con ông Phạm Văn Nữu đề nghị: </w:t>
            </w:r>
            <w:r>
              <w:rPr>
                <w:rFonts w:ascii="Times New Roman" w:eastAsia="Calibri" w:hAnsi="Times New Roman" w:cs="Times New Roman"/>
                <w:bCs/>
                <w:i/>
                <w:iCs/>
                <w:spacing w:val="-4"/>
                <w:sz w:val="24"/>
                <w:szCs w:val="24"/>
              </w:rPr>
              <w:t>“</w:t>
            </w:r>
            <w:r>
              <w:rPr>
                <w:rFonts w:ascii="Times New Roman" w:eastAsia="Calibri" w:hAnsi="Times New Roman" w:cs="Times New Roman"/>
                <w:b/>
                <w:bCs/>
                <w:iCs/>
                <w:spacing w:val="-4"/>
                <w:sz w:val="24"/>
                <w:szCs w:val="24"/>
              </w:rPr>
              <w:t>(1)</w:t>
            </w:r>
            <w:r>
              <w:rPr>
                <w:rFonts w:ascii="Times New Roman" w:eastAsia="Calibri" w:hAnsi="Times New Roman" w:cs="Times New Roman"/>
                <w:bCs/>
                <w:i/>
                <w:iCs/>
                <w:spacing w:val="-4"/>
                <w:sz w:val="24"/>
                <w:szCs w:val="24"/>
              </w:rPr>
              <w:t xml:space="preserve"> T</w:t>
            </w:r>
            <w:r>
              <w:rPr>
                <w:rFonts w:ascii="Times New Roman" w:eastAsia="Calibri" w:hAnsi="Times New Roman" w:cs="Times New Roman"/>
                <w:i/>
                <w:iCs/>
                <w:spacing w:val="-4"/>
                <w:sz w:val="24"/>
                <w:szCs w:val="24"/>
              </w:rPr>
              <w:t xml:space="preserve">hực hiện theo Bản án số 18/2010/LHPT ngày 06/10/2010 của Toà án nhân dân tỉnh đã có hiệu lực pháp luật; hoặc </w:t>
            </w:r>
            <w:r>
              <w:rPr>
                <w:rFonts w:ascii="Times New Roman" w:eastAsia="Calibri" w:hAnsi="Times New Roman" w:cs="Times New Roman"/>
                <w:b/>
                <w:iCs/>
                <w:spacing w:val="-4"/>
                <w:sz w:val="24"/>
                <w:szCs w:val="24"/>
              </w:rPr>
              <w:t>(2)</w:t>
            </w:r>
            <w:r>
              <w:rPr>
                <w:rFonts w:ascii="Times New Roman" w:eastAsia="Calibri" w:hAnsi="Times New Roman" w:cs="Times New Roman"/>
                <w:i/>
                <w:iCs/>
                <w:spacing w:val="-4"/>
                <w:sz w:val="24"/>
                <w:szCs w:val="24"/>
              </w:rPr>
              <w:t xml:space="preserve"> thực hiện theo Biên bản tạm giao đất cho gia đình tại vị trí như biên bản tạm giao đất ngày 15/4/2020 của UBND xã Xuân Hồng lập (tại khu vực thôn 1 xã Xuân Hồng) trước ngày 30/10/2024”.</w:t>
            </w:r>
            <w:r>
              <w:rPr>
                <w:rFonts w:ascii="Times New Roman" w:eastAsia="Calibri" w:hAnsi="Times New Roman" w:cs="Times New Roman"/>
                <w:spacing w:val="-4"/>
                <w:sz w:val="24"/>
                <w:szCs w:val="24"/>
              </w:rPr>
              <w:t xml:space="preserve"> </w:t>
            </w:r>
          </w:p>
          <w:p>
            <w:pPr>
              <w:tabs>
                <w:tab w:val="left" w:pos="3600"/>
              </w:tabs>
              <w:spacing w:before="40" w:after="40" w:line="240" w:lineRule="auto"/>
              <w:ind w:firstLine="288"/>
              <w:jc w:val="both"/>
              <w:rPr>
                <w:rFonts w:ascii="Times New Roman" w:eastAsia="Calibri" w:hAnsi="Times New Roman" w:cs="Times New Roman"/>
                <w:spacing w:val="-4"/>
                <w:sz w:val="24"/>
                <w:szCs w:val="24"/>
              </w:rPr>
            </w:pPr>
            <w:r>
              <w:rPr>
                <w:rFonts w:ascii="Times New Roman" w:eastAsia="Times New Roman" w:hAnsi="Times New Roman" w:cs="Times New Roman"/>
                <w:spacing w:val="-4"/>
                <w:sz w:val="24"/>
                <w:szCs w:val="24"/>
              </w:rPr>
              <w:t>- Đối với nội dung (1) đề nghị thực hiện theo Bản án số 18/2010/LHPT ngày 06/10/2010 của TAND tỉnh: Nội dung này thuộc thẩm quyền của cơ quan thi hành án dân sự. Theo Văn bản số 1657/CTHADS-NV ngày 16/9/2024 của Cục THADS tỉnh Hà Tĩnh</w:t>
            </w:r>
            <w:r>
              <w:rPr>
                <w:rFonts w:ascii="Times New Roman" w:eastAsia="Calibri" w:hAnsi="Times New Roman" w:cs="Times New Roman"/>
                <w:spacing w:val="-4"/>
                <w:sz w:val="24"/>
                <w:szCs w:val="24"/>
              </w:rPr>
              <w:t xml:space="preserve"> xác định Chi cục THADS huyện Nghi Xuân đã hoàn thành việc thi hành án</w:t>
            </w:r>
            <w:r>
              <w:rPr>
                <w:rFonts w:ascii="Times New Roman" w:eastAsia="Calibri" w:hAnsi="Times New Roman" w:cs="Times New Roman"/>
                <w:spacing w:val="-4"/>
                <w:sz w:val="24"/>
                <w:szCs w:val="24"/>
                <w:vertAlign w:val="superscript"/>
              </w:rPr>
              <w:footnoteReference w:id="6"/>
            </w:r>
            <w:r>
              <w:rPr>
                <w:rFonts w:ascii="Times New Roman" w:eastAsia="Calibri" w:hAnsi="Times New Roman" w:cs="Times New Roman"/>
                <w:spacing w:val="-4"/>
                <w:sz w:val="24"/>
                <w:szCs w:val="24"/>
              </w:rPr>
              <w:t>.</w:t>
            </w:r>
          </w:p>
          <w:p>
            <w:pPr>
              <w:tabs>
                <w:tab w:val="left" w:pos="3600"/>
              </w:tabs>
              <w:spacing w:before="40" w:after="40" w:line="240" w:lineRule="auto"/>
              <w:ind w:firstLine="288"/>
              <w:jc w:val="both"/>
              <w:rPr>
                <w:rFonts w:ascii="Times New Roman" w:eastAsia="Calibri" w:hAnsi="Times New Roman" w:cs="Times New Roman"/>
                <w:bCs/>
                <w:spacing w:val="-4"/>
                <w:sz w:val="24"/>
                <w:szCs w:val="24"/>
              </w:rPr>
            </w:pPr>
            <w:r>
              <w:rPr>
                <w:rFonts w:ascii="Times New Roman" w:eastAsia="Calibri" w:hAnsi="Times New Roman" w:cs="Times New Roman"/>
                <w:spacing w:val="-4"/>
                <w:sz w:val="24"/>
                <w:szCs w:val="24"/>
              </w:rPr>
              <w:t xml:space="preserve">- Đối với nội dung </w:t>
            </w:r>
            <w:r>
              <w:rPr>
                <w:rFonts w:ascii="Times New Roman" w:eastAsia="Calibri" w:hAnsi="Times New Roman" w:cs="Times New Roman"/>
                <w:b/>
                <w:spacing w:val="-4"/>
                <w:sz w:val="24"/>
                <w:szCs w:val="24"/>
              </w:rPr>
              <w:t>(2)</w:t>
            </w:r>
            <w:r>
              <w:rPr>
                <w:rFonts w:ascii="Times New Roman" w:eastAsia="Calibri" w:hAnsi="Times New Roman" w:cs="Times New Roman"/>
                <w:spacing w:val="-4"/>
                <w:sz w:val="24"/>
                <w:szCs w:val="24"/>
              </w:rPr>
              <w:t xml:space="preserve"> đề nghị tiếp tục giao đất cho các con ông Phạm Văn Nữu theo như biên bản tạm giao đất cho ông Phạm Văn Nữu ngày 15/4/2020 </w:t>
            </w:r>
            <w:r>
              <w:rPr>
                <w:rFonts w:ascii="Times New Roman" w:eastAsia="Calibri" w:hAnsi="Times New Roman" w:cs="Times New Roman"/>
                <w:bCs/>
                <w:spacing w:val="-4"/>
                <w:sz w:val="24"/>
                <w:szCs w:val="24"/>
              </w:rPr>
              <w:t>(hàng thừa kế đề nghị tiếp tục thực hiện theo biên bản tạm giao đất): Biên bản tạm giao đất không có giá trị thừa kế</w:t>
            </w:r>
            <w:r>
              <w:rPr>
                <w:rFonts w:ascii="Times New Roman" w:eastAsia="Calibri" w:hAnsi="Times New Roman" w:cs="Times New Roman"/>
                <w:bCs/>
                <w:spacing w:val="-4"/>
                <w:sz w:val="24"/>
                <w:szCs w:val="24"/>
                <w:vertAlign w:val="superscript"/>
              </w:rPr>
              <w:footnoteReference w:id="7"/>
            </w:r>
            <w:r>
              <w:rPr>
                <w:rFonts w:ascii="Times New Roman" w:eastAsia="Calibri" w:hAnsi="Times New Roman" w:cs="Times New Roman"/>
                <w:bCs/>
                <w:spacing w:val="-4"/>
                <w:sz w:val="24"/>
                <w:szCs w:val="24"/>
              </w:rPr>
              <w:t>; Về đối tượng xét giao đất, trên cơ sở báo cáo số 277/BC-UBND ngày 22/3/2024 của UBND xã Xuân Hồng, căn cứ Điều 119, Điều 124 Luật Đất đai 2024 các con của ông Phạm Văn Nữu không thuộc đối tượng được giao đất ở. Như vậy đề nghị này không đủ điều kiện để thực hiện.</w:t>
            </w:r>
          </w:p>
        </w:tc>
        <w:tc>
          <w:tcPr>
            <w:tcW w:w="3969" w:type="dxa"/>
          </w:tcPr>
          <w:p>
            <w:pPr>
              <w:tabs>
                <w:tab w:val="left" w:pos="3600"/>
              </w:tabs>
              <w:spacing w:before="40" w:after="40" w:line="240" w:lineRule="auto"/>
              <w:jc w:val="both"/>
              <w:rPr>
                <w:rFonts w:ascii="Times New Roman" w:eastAsia="Times New Roman" w:hAnsi="Times New Roman" w:cs="Times New Roman"/>
                <w:spacing w:val="-4"/>
                <w:sz w:val="24"/>
                <w:szCs w:val="24"/>
              </w:rPr>
            </w:pPr>
          </w:p>
        </w:tc>
      </w:tr>
      <w:tr>
        <w:trPr>
          <w:trHeight w:val="749"/>
        </w:trPr>
        <w:tc>
          <w:tcPr>
            <w:tcW w:w="779" w:type="dxa"/>
            <w:gridSpan w:val="2"/>
            <w:vAlign w:val="center"/>
          </w:tcPr>
          <w:p>
            <w:pPr>
              <w:spacing w:before="40" w:after="40" w:line="240" w:lineRule="auto"/>
              <w:jc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5.2</w:t>
            </w:r>
          </w:p>
        </w:tc>
        <w:tc>
          <w:tcPr>
            <w:tcW w:w="3473" w:type="dxa"/>
            <w:vAlign w:val="center"/>
          </w:tcPr>
          <w:p>
            <w:pPr>
              <w:spacing w:before="40" w:after="40" w:line="240" w:lineRule="auto"/>
              <w:ind w:firstLine="219"/>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Ông Lê Văn Phượng, xã Xuân Thành: kiến nghị nội dung liên quan đến việc thu hồi đất, bồi thường GPMB thực hiện dự án Khu du lịch Xuân Thành đối với thửa đất của bố mẹ ông Phượng và các hộ liên quan</w:t>
            </w:r>
          </w:p>
        </w:tc>
        <w:tc>
          <w:tcPr>
            <w:tcW w:w="710" w:type="dxa"/>
            <w:vAlign w:val="center"/>
          </w:tcPr>
          <w:p>
            <w:pPr>
              <w:spacing w:before="40" w:after="40" w:line="240" w:lineRule="auto"/>
              <w:jc w:val="center"/>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2019</w:t>
            </w:r>
          </w:p>
        </w:tc>
        <w:tc>
          <w:tcPr>
            <w:tcW w:w="6492" w:type="dxa"/>
          </w:tcPr>
          <w:p>
            <w:pPr>
              <w:spacing w:before="40" w:after="40" w:line="240" w:lineRule="auto"/>
              <w:ind w:firstLine="288"/>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Đối với vị trí đất cũ đã được cấp GCNQSD đất cho 03 hộ (cấp theo Nghị định số 64/CP ngày 27/9/1993) nay thuộc Quy hoạch phân khu khu du lịch Xuân Thành gắn với sân Golf và vùng phụ cận; vị trí đất của các hộ hiện nay nằm trong phạm vi dự án quần thể khu du lịch và nghỉ dưỡng cao cấp được UBND tỉnh chấp thuận chủ trương đầu tư cho Công ty Cổ phần hợp tác thương mại Toàn Cầu (Quyết định số 850/QĐ-UBND ngày 30/3/2018) do đó việc cấp giấy CNQSD đất tại vị trí cũ không thực hiện được; về bồi thường, bố trí vị trí khác cho các hộ chưa thực hiện được do dự án của Công ty Cổ phần hợp tác thương mại Toàn Cầu chưa triển khai thực hiện nên UBND huyện chưa thể thành lập HĐBT giải phóng mặt bằng để giải quyết nội dung này.</w:t>
            </w:r>
          </w:p>
          <w:p>
            <w:pPr>
              <w:spacing w:before="40" w:after="40" w:line="240" w:lineRule="auto"/>
              <w:ind w:firstLine="288"/>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Ngày 07/2/2024, UBND tỉnh có Văn bản số 762/UBND-KT2 về việc xử lý các dự án khách sạn, nhà nghỉ trong Khu du lịch Xuân Thành; UBND huyện Nghi Xuân đã ban hành Văn bản số 1166/UBND-TT ngày 14/3/2024 giao Trưởng phòng Tài nguyên và Môi trường chịu trách nhiệm chủ trì tổ chức soát xét, kiến nghị xử lý vụ việc.</w:t>
            </w:r>
          </w:p>
          <w:p>
            <w:pPr>
              <w:spacing w:before="40" w:after="40" w:line="240" w:lineRule="auto"/>
              <w:ind w:firstLine="288"/>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Ngày 24/10/2024, UBND huyện Nghi Xuân đã tổ chức cuộc họp với đại diện Thanh tra tỉnh, sở Tài nguyên và Môi trường, Sở Tư pháp (có 02 sở: Sở Tài chính và sở Kế hoạch đầu tư mời nhưng không tham gia) để xin ý kiến phương án xử lý các dự án khách sạn, nhà nghỉ trong Khu du lịch Xuân Thành.</w:t>
            </w:r>
          </w:p>
          <w:p>
            <w:pPr>
              <w:spacing w:before="40" w:after="40" w:line="240" w:lineRule="auto"/>
              <w:ind w:firstLine="288"/>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Ngày 05/12/2024, UBND huyện Nghi Xuân đã ban hành Văn bản số 6555/UBND-TNMT báo cáo và xin ý kiến UBND tỉnh, các Sở, ngành: Thanh tra tỉnh, Tài nguyên và Môi trường, Tài chính, Kế hoạch và Đầu tư, Tư pháp về phương án xử lý đối với các dự án khách sạn, nhà nghỉ trong Khu du lịch Xuân Thành.</w:t>
            </w:r>
          </w:p>
          <w:p>
            <w:pPr>
              <w:spacing w:before="40" w:after="40" w:line="240" w:lineRule="auto"/>
              <w:ind w:firstLine="288"/>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UBND tỉnh đã có Văn bản số 2421/UBND-KT2 ngày 22/4/2025 giao Sở Nông nghiệp và Môi trường, Thanh tra tỉnh, UBND huyện Nghi Xuân soát xét, nghiên cứu kỹ từng trường hợp, dự án cụ thể; trong đó, cần soát xét, thống nhất: phân nhóm, đề xuất phương án xử lý đối với các dự án có tính chất tương tự, các tồn tại tương tự; trong việc đề nghị làm rõ trách nhiệm của các tổ chức, cá nhân liên quan khi để xảy ra các tồn tại; hoàn thiện, gửi Sở Tài chính; đồng thời giao Sở Tài chính tổng hợp báo cáo các đơn vị, soát xét, tham mưu phương án xử lý tổng thể theo chỉ đạo của UBND tỉnh tại Văn bản số 762/UBND-KT2 ngày 07/02/2024, đảm bảo đúng quy định, thống nhất, đồng bộ, không thất thoát ngân sách, không xảy ra khiếu nại, khiếu kiện, tranh chấp trong quá trình xử lý. Hiện nay, Sở Tài chính đang tổng hợp để tham mưu UBND tỉnh.</w:t>
            </w:r>
          </w:p>
        </w:tc>
        <w:tc>
          <w:tcPr>
            <w:tcW w:w="3969" w:type="dxa"/>
          </w:tcPr>
          <w:p>
            <w:pPr>
              <w:spacing w:before="40" w:after="40" w:line="240" w:lineRule="auto"/>
              <w:jc w:val="both"/>
              <w:rPr>
                <w:rFonts w:ascii="Times New Roman" w:eastAsia="Times New Roman" w:hAnsi="Times New Roman" w:cs="Times New Roman"/>
                <w:spacing w:val="-4"/>
                <w:sz w:val="24"/>
                <w:szCs w:val="24"/>
              </w:rPr>
            </w:pPr>
          </w:p>
        </w:tc>
      </w:tr>
    </w:tbl>
    <w:p>
      <w:pPr>
        <w:spacing w:line="240" w:lineRule="auto"/>
        <w:rPr>
          <w:sz w:val="8"/>
        </w:rPr>
      </w:pPr>
    </w:p>
    <w:p>
      <w:pPr>
        <w:spacing w:line="240" w:lineRule="auto"/>
        <w:rPr>
          <w:sz w:val="8"/>
        </w:rPr>
      </w:pPr>
    </w:p>
    <w:p>
      <w:pPr>
        <w:spacing w:line="240" w:lineRule="auto"/>
        <w:rPr>
          <w:sz w:val="8"/>
        </w:rPr>
      </w:pPr>
    </w:p>
    <w:sectPr>
      <w:pgSz w:w="16840" w:h="11907" w:orient="landscape" w:code="9"/>
      <w:pgMar w:top="851" w:right="1021" w:bottom="1077" w:left="1021" w:header="567" w:footer="164"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imesNewRomanPS-Bold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pPr>
  </w:p>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FootnoteText"/>
        <w:ind w:firstLine="680"/>
        <w:jc w:val="both"/>
        <w:rPr>
          <w:spacing w:val="-2"/>
        </w:rPr>
      </w:pPr>
      <w:r>
        <w:rPr>
          <w:rStyle w:val="FootnoteReference"/>
          <w:spacing w:val="-2"/>
        </w:rPr>
        <w:footnoteRef/>
      </w:r>
      <w:r>
        <w:rPr>
          <w:spacing w:val="-2"/>
        </w:rPr>
        <w:t xml:space="preserve"> Sau khi đồng chí Bí thư Tỉnh ủy - Chủ tịch HĐND tỉnh được điều động ra công tác tại Tạp chí Cộng sản thì HĐND tỉnh cử 01 đồng chí Phó Chủ tịch HĐND tỉnh thay mặt Thường trực HĐND tỉnh dự tiếp dân hằng tháng. </w:t>
      </w:r>
    </w:p>
  </w:footnote>
  <w:footnote w:id="2">
    <w:p>
      <w:pPr>
        <w:autoSpaceDE w:val="0"/>
        <w:autoSpaceDN w:val="0"/>
        <w:adjustRightInd w:val="0"/>
        <w:spacing w:after="0" w:line="240" w:lineRule="auto"/>
        <w:ind w:firstLine="680"/>
        <w:jc w:val="both"/>
        <w:rPr>
          <w:rFonts w:ascii="Times New Roman" w:hAnsi="Times New Roman" w:cs="Times New Roman"/>
          <w:spacing w:val="3"/>
          <w:sz w:val="20"/>
          <w:szCs w:val="20"/>
          <w:shd w:val="clear" w:color="auto" w:fill="FFFFFF"/>
        </w:rPr>
      </w:pPr>
      <w:r>
        <w:rPr>
          <w:rFonts w:ascii="Times New Roman" w:eastAsia="Arial Unicode MS" w:hAnsi="Times New Roman" w:cs="Times New Roman"/>
          <w:sz w:val="20"/>
          <w:szCs w:val="20"/>
          <w:vertAlign w:val="superscript"/>
          <w:lang w:eastAsia="vi-VN"/>
        </w:rPr>
        <w:t>(</w:t>
      </w:r>
      <w:r>
        <w:rPr>
          <w:rFonts w:ascii="Times New Roman" w:eastAsia="Arial Unicode MS" w:hAnsi="Times New Roman" w:cs="Times New Roman"/>
          <w:sz w:val="20"/>
          <w:szCs w:val="20"/>
          <w:vertAlign w:val="superscript"/>
          <w:lang w:eastAsia="vi-VN"/>
        </w:rPr>
        <w:footnoteRef/>
      </w:r>
      <w:r>
        <w:rPr>
          <w:rFonts w:ascii="Times New Roman" w:eastAsia="Arial Unicode MS" w:hAnsi="Times New Roman" w:cs="Times New Roman"/>
          <w:sz w:val="20"/>
          <w:szCs w:val="20"/>
          <w:vertAlign w:val="superscript"/>
          <w:lang w:eastAsia="vi-VN"/>
        </w:rPr>
        <w:t xml:space="preserve">) </w:t>
      </w:r>
      <w:r>
        <w:rPr>
          <w:rFonts w:ascii="Times New Roman" w:hAnsi="Times New Roman" w:cs="Times New Roman"/>
          <w:spacing w:val="3"/>
          <w:sz w:val="20"/>
          <w:szCs w:val="20"/>
          <w:shd w:val="clear" w:color="auto" w:fill="FFFFFF"/>
        </w:rPr>
        <w:t>(1) Kế hoạch số 331-KH/TU ngày 05/02/2025 của Tỉnh ủy về thực hiện Kết luận số 107-KL/TW ngày 24/12/2024 của Bộ Chính trị về tiếp tục tăng cường sự lãnh đạo của Đảng đối với công tác tiếp công dân và giải quyết khiếu nại, tố cáo, kiến nghị, phản ánh; (2) Quyết định số 1237-QĐ/TU, ngày 28/4/025 của Tỉnh ủy về thành lập Tổ công tác và Tổ giúp việc chỉ đạo rà soát, giải quyết 02 vụ việc khiếu nại, tố cáo phức tạp, kéo dài, vượt cấp lên Trung ương theo Kế hoạch số 96/KH-TTCP của Thanh tra Chính phủ; (3)Văn bản số 3139-CV/TU ngày 14/4/2025 của Tỉnh  ủy về việc chỉ đạo, kiểm tra, giải quyết khiếu nại, tố cáo kéo dài vượt cấp; (4) Văn bản số 1354/UBND-NC ngày 13/3/2025 của UBND tỉnh về chỉ đạo công tác tiếp công dân, giải quyết khiếu nại, tố cáo; (5) Văn bản số 2540/UBND-TCD ngày 25/4/2025 của UBND tỉnh về phối hợp tiếp công dân phục vụ Kỳ họp lần thứ 9 Quốc hội Khóa XV; (6) Văn bản số 2568/UBND-NC ngày 25/4/2025 của UBND tỉnh về giải quyết khiếu nại, tố cáo, kiến nghị, phản ánh.</w:t>
      </w:r>
    </w:p>
  </w:footnote>
  <w:footnote w:id="3">
    <w:p>
      <w:pPr>
        <w:pStyle w:val="FootnoteText"/>
        <w:ind w:firstLine="680"/>
        <w:jc w:val="both"/>
      </w:pPr>
      <w:r>
        <w:rPr>
          <w:vertAlign w:val="superscript"/>
        </w:rPr>
        <w:t>(</w:t>
      </w:r>
      <w:r>
        <w:rPr>
          <w:rStyle w:val="FootnoteReference"/>
          <w:rFonts w:eastAsiaTheme="majorEastAsia"/>
        </w:rPr>
        <w:footnoteRef/>
      </w:r>
      <w:r>
        <w:rPr>
          <w:vertAlign w:val="superscript"/>
        </w:rPr>
        <w:t>)</w:t>
      </w:r>
      <w:r>
        <w:t xml:space="preserve"> Đoàn thanh tra việc chấp hành pháp luật về: doanh nghiệp, đầu tư, đất đai, quy hoạch, xây dựng, khoáng sản, môi trường, thực hiện nghĩa vụ đối với Nhà nước và các quy định pháp luật liên quan trong quá trình triển khai, thực hiện Dự án khai thác và tuyển quặng sắt mỏ Thạch Khê; (2) Đoàn thanh tra công tác quản lý nhà nước về đất đai tại UBND thị trấn Lộc Hà và UBND xã Thạch Châu - huyện Thạch Hà đối với phần diện tích đất của 08 hộ dân nuôi trồng thủy sản liên quan đến công tác hỗ trợ giải phóng mặt bằng thực hiện các dự án: Xử lý </w:t>
      </w:r>
      <w:r>
        <w:rPr>
          <w:spacing w:val="-2"/>
        </w:rPr>
        <w:t xml:space="preserve">cấp bách Đê Tả Nghèn và Đầu tư xây dựng công trình hạ tầng ngoài hàng rào Cụm công nghiệp Thạch Bằng; (3) Đoàn thanh tra việc quản lý, sử dụng đất và tài sản công tại cơ sở 1 của Trung tâm Văn hoá, Điện ảnh và Xúc tiến du lịch tỉnh; (4) Đoàn thanh tra việc chấp hành quy định pháp luật về đầu tư, đất đai và quá trình triển khai thực hiện Dự án xây dựng, nâng cấp, cải tạo Khách sạn Cẩm Xuyên (Khách sạn Ngoại Thương cũ) tại thị trấn Cẩm Xuyên, huyện Cẩm Xuyên; (5) Đoàn thanh tra </w:t>
      </w:r>
      <w:r>
        <w:rPr>
          <w:bCs/>
          <w:spacing w:val="-2"/>
        </w:rPr>
        <w:t>việc chấp hành các quy định pháp luật về doanh nghiệp, hoạt động đấu giá tài sản, thực hiện nghĩa vụ với ngân sách nhà nước và người lao động tại Công ty Đấu giá hợp danh Minh Nhật.</w:t>
      </w:r>
      <w:r>
        <w:t xml:space="preserve"> </w:t>
      </w:r>
    </w:p>
  </w:footnote>
  <w:footnote w:id="4">
    <w:p>
      <w:pPr>
        <w:pStyle w:val="FootnoteText"/>
        <w:ind w:firstLine="709"/>
        <w:jc w:val="both"/>
        <w:rPr>
          <w:spacing w:val="-6"/>
        </w:rPr>
      </w:pPr>
      <w:r>
        <w:rPr>
          <w:rStyle w:val="FootnoteReference"/>
          <w:rFonts w:eastAsiaTheme="majorEastAsia"/>
          <w:spacing w:val="-6"/>
        </w:rPr>
        <w:footnoteRef/>
      </w:r>
      <w:r>
        <w:rPr>
          <w:spacing w:val="-6"/>
        </w:rPr>
        <w:t xml:space="preserve"> UBND tỉnh đã ban hành Quyết định số 17/2025/QĐ-UBND ngày 21/02/2025 bãi bỏ Quyết định số 31/2015/QĐ-UBND ngày 29/7/2015 của UBND tỉnh ban hành Quy chế phối hợp thực hiện liên thông các thủ tục hành chính: đăng ký khai sinh, đăng ký thường trú và cấp thẻ bảo hiểm y tế cho trẻ em dưới 06 tuổi trên địa bàn tỉnh Hà Tĩnh; Quyết định số 12/2023/QĐ-UBND ngày 16/02/2023 của UBND tỉnh sửa đổi, bổ sung một số điều của Quy chế phối hợp thực hiện liên thông các thủ tục hành chính: đăng ký khai sinh, đăng ký thường trú và cấp thẻ bảo hiểm y tế cho trẻ em dưới 06 tuổi trên địa bàn tỉnh Hà Tĩnh ban hành kèm theo Quyết định số 31/2015/QĐ-UBND.</w:t>
      </w:r>
    </w:p>
  </w:footnote>
  <w:footnote w:id="5">
    <w:p>
      <w:pPr>
        <w:pStyle w:val="FootnoteText"/>
        <w:ind w:firstLine="680"/>
        <w:jc w:val="both"/>
      </w:pPr>
      <w:r>
        <w:rPr>
          <w:rStyle w:val="FootnoteReference"/>
          <w:rFonts w:eastAsiaTheme="majorEastAsia"/>
        </w:rPr>
        <w:footnoteRef/>
      </w:r>
      <w:r>
        <w:t xml:space="preserve"> (1) Ngày 10/01/2025, Cơ quan Cảnh sát điều tra Công an tỉnh đã ra quyết định khời tố vụ án hình sự “Lợi dụng chức vụ, quyền hạn trong khi thi hành công vụ” và ngày 22/01/2025 ra quyết định khởi tố bị can đối với Nguyễn Công Hải, sinh năm 1987, cư trú tại xã Việt Tiến, huyện Thạch Hà, cán bộ Phòng PC08, Công an tỉnh Hà Tĩnh về tội “Lợi dụng chức vụ, quyền hạn trong khi thi hành công vụ” theo quy định tại khoản 1, Điều 356 Bộ Luật Hình sự. Hiện đang tiếp tục điều tra. Hiện nay đã kết thúc điều tra chuyển cơ quan chức năng (2) Từ tháng 4/2023 đến tháng 5/2024, Nguyễn Thị Tuyết (1987),  nhân viên thu cước phòng bán hàng Cẩm Xuyên thuộc trung tâm Trung tâm Kinh doanh VNPT - Hà Tĩnh được giao nhiệm vụ thu tiền cước sử dụng dịch vụ viễn thông của khách hàng trên địa bàn thị trấn Cẩm Xuyên và xã Cẩm Quang, huyện Cẩm Xuyên đã thu tiền cước của 381 khách hàng với tổng số tiền 578.898.000 đồng. Tuyết đã gạch nợ trên hệ thống để nộp về tài khoản ngân hàng của Trung tâm kinh doanh VNPT - Hà Tĩnh số tiền 243.679.926 đồng, số tiền còn lại 335.218.074 đồng Tuyết chiếm đoạt, sử dụng vào mục đích cá nhân. Nguyễn Thị Tuyết không gạch nợ đối với số tiền khách hàng nộp gây thiệt hại cho 381 khách hàng sử dụng dịch vụ viễn thông số tiền 118.855.426 đồng. Ngày 16/01/2025, Cơ quan Cảnh sát điều tra Công an tỉnh đã ra Quyết định khởi tố vụ án hình sự, Quyết định khởi tố bị can và Lệnh bắt bị can để tạm giam đối với Nguyễn Thị Tuyết về tội “Tham ô tài sản” quy định tại khoản 2, điều 353 Bộ Luật Hình sự; (3) Trong thời gian làm việc tại Phòng giao dịch Đức Thọ thuộc Công ty Cổ phần Kinh doanh F88, số 01 đường Nguyễn Thị Minh Khai, tổ dân phố 4, thị trấn Đức Thọ, huyện Đức Thọ, tỉnh Hà Tĩnh từ tháng 02/2023 đến ngày 26/10/2024, Cao Thị Thảo, sinh năm 1990, trú tại: thôn Hội Trung, xã Đức Liên, huyện Vũ Quang, Hà Tĩnh đã có hành vi tham ô tài sản của Công ty Cổ phần Kinh doanh F88 với tổng số tiền là 150.714.444 đồng. Hiện nay đã kết thúc điều tra chuyển Viện Kiểm sát; (4) ngày 28/02/2025, Phòng PC03 tiếp nhận hồ sơ (Cơ quan CSĐT Công an huyện Can Lộc chuyến) tố giác về tội phạm của ông Lê Văn Thắng (1967), trú tại thị trấn Nghèn, huyện Can Lộc - Giám đốc Công ty TNHH Thắng Lợi tố giác Cù Thị Mai Hương (1983), trú tại thị trấn Phố Châu, huyện Hương Sơn, tỉnh Hà Tĩnh - nguyên Quyền Đội trưởng Đội kiểm tra thuế - Chi cục thuế khu vực thị xã Hồng Lĩnh - Can Lộc thuộc Cục thuế tỉnh Hà Tĩnh (tại thời điểm năm 2021) có hành vi Lạm dụng chức vụ, quyền hạn chiếm đoạt tài sản 416.000.000 đồng của ông Lê Văn Thắng nộp vào tài khoản của Cù Thị Mai Hương để thanh toán, nộp thuế do Công ty TNHH Thắng Lợi vào tháng 8/2021</w:t>
      </w:r>
    </w:p>
  </w:footnote>
  <w:footnote w:id="6">
    <w:p>
      <w:pPr>
        <w:pStyle w:val="FootnoteText"/>
        <w:rPr>
          <w:sz w:val="18"/>
          <w:szCs w:val="18"/>
        </w:rPr>
      </w:pPr>
      <w:r>
        <w:rPr>
          <w:rStyle w:val="FootnoteReference"/>
          <w:sz w:val="18"/>
          <w:szCs w:val="18"/>
        </w:rPr>
        <w:footnoteRef/>
      </w:r>
      <w:r>
        <w:rPr>
          <w:sz w:val="18"/>
          <w:szCs w:val="18"/>
        </w:rPr>
        <w:t xml:space="preserve"> Ngày 14/01/2016 Cục THADS tỉnh ban hành văn bản số 318/CTHA-KTGQKN báo cáo kết quả thi hành án, xử lý đơn kiến nghị của ông Phạm Văn Nữu, tại văn bản cũng đã khẳng định nôi dung này.</w:t>
      </w:r>
    </w:p>
  </w:footnote>
  <w:footnote w:id="7">
    <w:p>
      <w:pPr>
        <w:pStyle w:val="FootnoteText"/>
        <w:rPr>
          <w:sz w:val="18"/>
          <w:szCs w:val="18"/>
        </w:rPr>
      </w:pPr>
      <w:r>
        <w:rPr>
          <w:rStyle w:val="FootnoteReference"/>
          <w:sz w:val="18"/>
          <w:szCs w:val="18"/>
        </w:rPr>
        <w:footnoteRef/>
      </w:r>
      <w:r>
        <w:rPr>
          <w:sz w:val="18"/>
          <w:szCs w:val="18"/>
        </w:rPr>
        <w:t xml:space="preserve"> Theo văn bản số 783/STNMT-ĐĐ1 ngày 26/02/2024 của Sở Tài nguyên – Môi trường: việc UBND xã Xuân Hồng tiến hành lập biên bản tạm bàn giao đất cho ông Phạm Văn Nữu là chưa đúng quy định.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080063"/>
      <w:docPartObj>
        <w:docPartGallery w:val="Page Numbers (Top of Page)"/>
        <w:docPartUnique/>
      </w:docPartObj>
    </w:sdtPr>
    <w:sdtEndPr>
      <w:rPr>
        <w:rFonts w:ascii="Times New Roman" w:hAnsi="Times New Roman" w:cs="Times New Roman"/>
        <w:noProof/>
        <w:sz w:val="28"/>
        <w:szCs w:val="28"/>
      </w:rPr>
    </w:sdtEndPr>
    <w:sdtContent>
      <w:p>
        <w:pPr>
          <w:pStyle w:val="Header"/>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noProof/>
            <w:sz w:val="28"/>
            <w:szCs w:val="28"/>
          </w:rPr>
          <w:t>2</w:t>
        </w:r>
        <w:r>
          <w:rPr>
            <w:rFonts w:ascii="Times New Roman" w:hAnsi="Times New Roman" w:cs="Times New Roman"/>
            <w:noProof/>
            <w:sz w:val="28"/>
            <w:szCs w:val="28"/>
          </w:rPr>
          <w:fldChar w:fldCharType="end"/>
        </w:r>
      </w:p>
    </w:sdtContent>
  </w:sdt>
  <w:p>
    <w:pPr>
      <w:pStyle w:val="Header"/>
      <w:rPr>
        <w:sz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jc w:val="center"/>
      <w:rPr>
        <w:rFonts w:ascii="Times New Roman" w:hAnsi="Times New Roman" w:cs="Times New Roman"/>
        <w:sz w:val="28"/>
        <w:szCs w:val="28"/>
      </w:rPr>
    </w:pPr>
  </w:p>
  <w:p>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0912B3"/>
    <w:multiLevelType w:val="hybridMultilevel"/>
    <w:tmpl w:val="6CA68DF8"/>
    <w:lvl w:ilvl="0" w:tplc="90DCAF1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Windows Live" w15:userId="aa2431bbd303f7ac"/>
  </w15:person>
  <w15:person w15:author="Truong Hoai Nam">
    <w15:presenceInfo w15:providerId="Windows Live" w15:userId="5464bf0845b30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hideSpellingErrors/>
  <w:revisionView w:inkAnnotations="0"/>
  <w:defaultTabStop w:val="720"/>
  <w:drawingGridHorizontalSpacing w:val="140"/>
  <w:drawingGridVerticalSpacing w:val="381"/>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00"/>
        <w:ind w:firstLine="6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ind w:firstLine="0"/>
      <w:jc w:val="left"/>
    </w:pPr>
    <w:rPr>
      <w:rFonts w:asciiTheme="minorHAnsi" w:hAnsiTheme="minorHAnsi"/>
      <w:kern w:val="0"/>
      <w:sz w:val="22"/>
      <w14:ligatures w14:val="none"/>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spacing w:after="160"/>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FootnoteReference">
    <w:name w:val="footnote reference"/>
    <w:aliases w:val="Footnote,Footnote text,Ref,de nota al pie,ftref,BearingPoint,16 Point,Superscript 6 Point,fr,f,(NECG) Footnote Reference,BVI fnr,footnote ref,Footnote Text1,SUPERS,Footnote dich,Footnote + Arial,10 pt,Black,Знак сноски 1, BVI fnr,R,4"/>
    <w:link w:val="CarattereCarattereCharCharCharCharCharCharZchn"/>
    <w:uiPriority w:val="99"/>
    <w:qFormat/>
    <w:rPr>
      <w:vertAlign w:val="superscript"/>
    </w:rPr>
  </w:style>
  <w:style w:type="paragraph" w:styleId="FootnoteText">
    <w:name w:val="footnote text"/>
    <w:aliases w:val="Char9,Footnote Text Char Char Char Char Char Char Ch Char Char Char Char Char Char C,fn Char Char,Cha,Footnote Text Char Char Char Char Char,Footnote Text Char Char Char Char Char Char Ch Char Char Char,fn,single space,C,ft, Char9, C"/>
    <w:basedOn w:val="Normal"/>
    <w:link w:val="FootnoteTextChar"/>
    <w:uiPriority w:val="99"/>
    <w:qFormat/>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Char9 Char,Footnote Text Char Char Char Char Char Char Ch Char Char Char Char Char Char C Char,fn Char Char Char,Cha Char,Footnote Text Char Char Char Char Char Char,Footnote Text Char Char Char Char Char Char Ch Char Char Char Char"/>
    <w:basedOn w:val="DefaultParagraphFont"/>
    <w:link w:val="FootnoteText"/>
    <w:rPr>
      <w:rFonts w:eastAsia="Times New Roman" w:cs="Times New Roman"/>
      <w:kern w:val="0"/>
      <w:sz w:val="20"/>
      <w:szCs w:val="20"/>
      <w14:ligatures w14:val="none"/>
    </w:rPr>
  </w:style>
  <w:style w:type="character" w:customStyle="1" w:styleId="fontstyle01">
    <w:name w:val="fontstyle01"/>
    <w:basedOn w:val="DefaultParagraphFont"/>
    <w:rPr>
      <w:rFonts w:ascii="TimesNewRomanPS-BoldMT" w:hAnsi="TimesNewRomanPS-BoldMT" w:hint="default"/>
      <w:b/>
      <w:bCs/>
      <w:i w:val="0"/>
      <w:iCs w:val="0"/>
      <w:color w:val="000000"/>
      <w:sz w:val="28"/>
      <w:szCs w:val="28"/>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pPr>
      <w:spacing w:after="160" w:line="240" w:lineRule="exact"/>
    </w:pPr>
    <w:rPr>
      <w:rFonts w:ascii="Times New Roman" w:hAnsi="Times New Roman"/>
      <w:kern w:val="2"/>
      <w:sz w:val="28"/>
      <w:vertAlign w:val="superscript"/>
      <w14:ligatures w14:val="standardContextual"/>
    </w:rPr>
  </w:style>
  <w:style w:type="table" w:styleId="TableGrid">
    <w:name w:val="Table Grid"/>
    <w:basedOn w:val="TableNormal"/>
    <w:uiPriority w:val="39"/>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pPr>
      <w:spacing w:after="0"/>
      <w:ind w:firstLine="0"/>
      <w:jc w:val="left"/>
    </w:pPr>
    <w:rPr>
      <w:rFonts w:asciiTheme="minorHAnsi" w:hAnsiTheme="minorHAnsi"/>
      <w:kern w:val="0"/>
      <w:sz w:val="22"/>
      <w14:ligatures w14:val="none"/>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asciiTheme="minorHAnsi" w:hAnsiTheme="minorHAnsi"/>
      <w:kern w:val="0"/>
      <w:sz w:val="22"/>
      <w14:ligatures w14:val="none"/>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asciiTheme="minorHAnsi" w:hAnsiTheme="minorHAnsi"/>
      <w:kern w:val="0"/>
      <w:sz w:val="22"/>
      <w14:ligatures w14:val="none"/>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kern w:val="0"/>
      <w:sz w:val="16"/>
      <w:szCs w:val="16"/>
      <w14:ligatures w14:val="non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Theme="minorHAnsi" w:hAnsiTheme="minorHAnsi"/>
      <w:kern w:val="0"/>
      <w:sz w:val="20"/>
      <w:szCs w:val="20"/>
      <w14:ligatures w14:val="none"/>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heme="minorHAnsi" w:hAnsiTheme="minorHAnsi"/>
      <w:b/>
      <w:bCs/>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00"/>
        <w:ind w:firstLine="6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ind w:firstLine="0"/>
      <w:jc w:val="left"/>
    </w:pPr>
    <w:rPr>
      <w:rFonts w:asciiTheme="minorHAnsi" w:hAnsiTheme="minorHAnsi"/>
      <w:kern w:val="0"/>
      <w:sz w:val="22"/>
      <w14:ligatures w14:val="none"/>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spacing w:after="160"/>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FootnoteReference">
    <w:name w:val="footnote reference"/>
    <w:aliases w:val="Footnote,Footnote text,Ref,de nota al pie,ftref,BearingPoint,16 Point,Superscript 6 Point,fr,f,(NECG) Footnote Reference,BVI fnr,footnote ref,Footnote Text1,SUPERS,Footnote dich,Footnote + Arial,10 pt,Black,Знак сноски 1, BVI fnr,R,4"/>
    <w:link w:val="CarattereCarattereCharCharCharCharCharCharZchn"/>
    <w:uiPriority w:val="99"/>
    <w:qFormat/>
    <w:rPr>
      <w:vertAlign w:val="superscript"/>
    </w:rPr>
  </w:style>
  <w:style w:type="paragraph" w:styleId="FootnoteText">
    <w:name w:val="footnote text"/>
    <w:aliases w:val="Char9,Footnote Text Char Char Char Char Char Char Ch Char Char Char Char Char Char C,fn Char Char,Cha,Footnote Text Char Char Char Char Char,Footnote Text Char Char Char Char Char Char Ch Char Char Char,fn,single space,C,ft, Char9, C"/>
    <w:basedOn w:val="Normal"/>
    <w:link w:val="FootnoteTextChar"/>
    <w:uiPriority w:val="99"/>
    <w:qFormat/>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Char9 Char,Footnote Text Char Char Char Char Char Char Ch Char Char Char Char Char Char C Char,fn Char Char Char,Cha Char,Footnote Text Char Char Char Char Char Char,Footnote Text Char Char Char Char Char Char Ch Char Char Char Char"/>
    <w:basedOn w:val="DefaultParagraphFont"/>
    <w:link w:val="FootnoteText"/>
    <w:rPr>
      <w:rFonts w:eastAsia="Times New Roman" w:cs="Times New Roman"/>
      <w:kern w:val="0"/>
      <w:sz w:val="20"/>
      <w:szCs w:val="20"/>
      <w14:ligatures w14:val="none"/>
    </w:rPr>
  </w:style>
  <w:style w:type="character" w:customStyle="1" w:styleId="fontstyle01">
    <w:name w:val="fontstyle01"/>
    <w:basedOn w:val="DefaultParagraphFont"/>
    <w:rPr>
      <w:rFonts w:ascii="TimesNewRomanPS-BoldMT" w:hAnsi="TimesNewRomanPS-BoldMT" w:hint="default"/>
      <w:b/>
      <w:bCs/>
      <w:i w:val="0"/>
      <w:iCs w:val="0"/>
      <w:color w:val="000000"/>
      <w:sz w:val="28"/>
      <w:szCs w:val="28"/>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pPr>
      <w:spacing w:after="160" w:line="240" w:lineRule="exact"/>
    </w:pPr>
    <w:rPr>
      <w:rFonts w:ascii="Times New Roman" w:hAnsi="Times New Roman"/>
      <w:kern w:val="2"/>
      <w:sz w:val="28"/>
      <w:vertAlign w:val="superscript"/>
      <w14:ligatures w14:val="standardContextual"/>
    </w:rPr>
  </w:style>
  <w:style w:type="table" w:styleId="TableGrid">
    <w:name w:val="Table Grid"/>
    <w:basedOn w:val="TableNormal"/>
    <w:uiPriority w:val="39"/>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pPr>
      <w:spacing w:after="0"/>
      <w:ind w:firstLine="0"/>
      <w:jc w:val="left"/>
    </w:pPr>
    <w:rPr>
      <w:rFonts w:asciiTheme="minorHAnsi" w:hAnsiTheme="minorHAnsi"/>
      <w:kern w:val="0"/>
      <w:sz w:val="22"/>
      <w14:ligatures w14:val="none"/>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asciiTheme="minorHAnsi" w:hAnsiTheme="minorHAnsi"/>
      <w:kern w:val="0"/>
      <w:sz w:val="22"/>
      <w14:ligatures w14:val="none"/>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asciiTheme="minorHAnsi" w:hAnsiTheme="minorHAnsi"/>
      <w:kern w:val="0"/>
      <w:sz w:val="22"/>
      <w14:ligatures w14:val="none"/>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kern w:val="0"/>
      <w:sz w:val="16"/>
      <w:szCs w:val="16"/>
      <w14:ligatures w14:val="non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Theme="minorHAnsi" w:hAnsiTheme="minorHAnsi"/>
      <w:kern w:val="0"/>
      <w:sz w:val="20"/>
      <w:szCs w:val="20"/>
      <w14:ligatures w14:val="none"/>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heme="minorHAnsi" w:hAnsiTheme="minorHAnsi"/>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910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7705B-3CAE-4C90-A709-8031927C0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10153</Words>
  <Characters>57877</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hien phuc</dc:creator>
  <cp:lastModifiedBy>Windows User</cp:lastModifiedBy>
  <cp:revision>3</cp:revision>
  <cp:lastPrinted>2025-06-24T10:56:00Z</cp:lastPrinted>
  <dcterms:created xsi:type="dcterms:W3CDTF">2025-06-24T10:57:00Z</dcterms:created>
  <dcterms:modified xsi:type="dcterms:W3CDTF">2025-06-25T11:07:00Z</dcterms:modified>
</cp:coreProperties>
</file>